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4"/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006426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7730" cy="60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10"/>
          <w:szCs w:val="10"/>
          <w:highlight w:val="white"/>
        </w:rPr>
      </w:pPr>
      <w:r>
        <w:rPr>
          <w:rFonts w:ascii="Times New Roman" w:hAnsi="Times New Roman" w:eastAsia="Times New Roman" w:cs="Times New Roman"/>
          <w:sz w:val="10"/>
          <w:szCs w:val="10"/>
          <w:highlight w:val="white"/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  <w:r>
        <w:rPr>
          <w:rFonts w:ascii="Times New Roman" w:hAnsi="Times New Roman" w:cs="Times New Roman"/>
          <w:sz w:val="10"/>
          <w:szCs w:val="10"/>
          <w:highlight w:val="white"/>
        </w:rPr>
      </w:r>
    </w:p>
    <w:p>
      <w:pPr>
        <w:pStyle w:val="1034"/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Cs w:val="32"/>
          <w:highlight w:val="white"/>
        </w:rPr>
      </w:pPr>
      <w:r>
        <w:rPr>
          <w:rFonts w:ascii="Times New Roman" w:hAnsi="Times New Roman" w:eastAsia="Times New Roman" w:cs="Times New Roman"/>
          <w:szCs w:val="32"/>
          <w:highlight w:val="white"/>
        </w:rPr>
        <w:t xml:space="preserve">АДМИНИСТРАЦИЯ ГОРОДА НИЖНЕГО НОВГОРОДА</w:t>
      </w:r>
      <w:r>
        <w:rPr>
          <w:rFonts w:ascii="Times New Roman" w:hAnsi="Times New Roman" w:cs="Times New Roman"/>
          <w:szCs w:val="32"/>
          <w:highlight w:val="white"/>
        </w:rPr>
      </w:r>
      <w:r>
        <w:rPr>
          <w:rFonts w:ascii="Times New Roman" w:hAnsi="Times New Roman" w:cs="Times New Roman"/>
          <w:szCs w:val="32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pStyle w:val="1035"/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pacing w:val="20"/>
          <w:sz w:val="36"/>
          <w:szCs w:val="36"/>
          <w:highlight w:val="white"/>
        </w:rPr>
      </w:pPr>
      <w:r>
        <w:rPr>
          <w:rFonts w:ascii="Times New Roman" w:hAnsi="Times New Roman" w:eastAsia="Times New Roman" w:cs="Times New Roman"/>
          <w:spacing w:val="20"/>
          <w:sz w:val="36"/>
          <w:szCs w:val="36"/>
          <w:highlight w:val="white"/>
        </w:rPr>
        <w:t xml:space="preserve">ПОСТАНОВЛЕНИЕ</w:t>
      </w:r>
      <w:r>
        <w:rPr>
          <w:rFonts w:ascii="Times New Roman" w:hAnsi="Times New Roman" w:cs="Times New Roman"/>
          <w:spacing w:val="20"/>
          <w:sz w:val="36"/>
          <w:szCs w:val="36"/>
          <w:highlight w:val="white"/>
        </w:rPr>
      </w:r>
      <w:r>
        <w:rPr>
          <w:rFonts w:ascii="Times New Roman" w:hAnsi="Times New Roman" w:cs="Times New Roman"/>
          <w:spacing w:val="20"/>
          <w:sz w:val="36"/>
          <w:szCs w:val="36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  <w:lang w:val="en-US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white"/>
          <w:lang w:val="en-US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  <w:r>
        <w:rPr>
          <w:rFonts w:ascii="Times New Roman" w:hAnsi="Times New Roman" w:cs="Times New Roman"/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white"/>
              </w:rPr>
            </w:r>
          </w:p>
        </w:tc>
      </w:tr>
    </w:tbl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4542" w:type="dxa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4068"/>
        <w:gridCol w:w="142"/>
      </w:tblGrid>
      <w:tr>
        <w:tblPrEx/>
        <w:trPr>
          <w:trHeight w:val="144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406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val="en-US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6"/>
        </w:trPr>
        <w:tc>
          <w:tcPr>
            <w:gridSpan w:val="3"/>
            <w:shd w:val="clear" w:color="auto" w:fill="ffffff"/>
            <w:tcMar>
              <w:left w:w="113" w:type="dxa"/>
              <w:top w:w="0" w:type="dxa"/>
              <w:right w:w="113" w:type="dxa"/>
              <w:bottom w:w="0" w:type="dxa"/>
            </w:tcMar>
            <w:tcW w:w="438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Об утверждении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Местных нормативов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градостроительного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проектирования город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ско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го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 округ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город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 Нижн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ий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 Новгород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-15" w:firstLine="735"/>
        <w:jc w:val="both"/>
        <w:spacing w:before="0" w:beforeAutospacing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основании </w:t>
      </w:r>
      <w:r>
        <w:rPr>
          <w:color w:val="000000" w:themeColor="text1"/>
          <w:sz w:val="28"/>
          <w:szCs w:val="28"/>
          <w:highlight w:val="white"/>
        </w:rPr>
        <w:t xml:space="preserve">статьи 29.4 </w:t>
      </w:r>
      <w:r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 xml:space="preserve">Градостроительного кодекса Российской Федерации</w:t>
      </w:r>
      <w:r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Устава города Нижнего Новгорода администрация города Нижнего Новгорода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 о с т а н о в л я е 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1. Утвердить прилагаемые </w:t>
      </w:r>
      <w:r>
        <w:rPr>
          <w:bCs/>
          <w:color w:val="000000" w:themeColor="text1"/>
          <w:sz w:val="28"/>
          <w:szCs w:val="28"/>
          <w:highlight w:val="white"/>
        </w:rPr>
        <w:t xml:space="preserve">Мест</w:t>
      </w:r>
      <w:r>
        <w:rPr>
          <w:bCs/>
          <w:color w:val="000000" w:themeColor="text1"/>
          <w:sz w:val="28"/>
          <w:szCs w:val="28"/>
          <w:highlight w:val="white"/>
        </w:rPr>
        <w:t xml:space="preserve">ные нормативы градостроительного проектирования </w:t>
      </w:r>
      <w:r>
        <w:rPr>
          <w:bCs/>
          <w:color w:val="000000" w:themeColor="text1"/>
          <w:sz w:val="28"/>
          <w:szCs w:val="28"/>
          <w:highlight w:val="white"/>
        </w:rPr>
        <w:t xml:space="preserve">город</w:t>
      </w:r>
      <w:r>
        <w:rPr>
          <w:bCs/>
          <w:color w:val="000000" w:themeColor="text1"/>
          <w:sz w:val="28"/>
          <w:szCs w:val="28"/>
          <w:highlight w:val="white"/>
        </w:rPr>
        <w:t xml:space="preserve">ского округа город</w:t>
      </w:r>
      <w:r>
        <w:rPr>
          <w:bCs/>
          <w:color w:val="000000" w:themeColor="text1"/>
          <w:sz w:val="28"/>
          <w:szCs w:val="28"/>
          <w:highlight w:val="white"/>
        </w:rPr>
        <w:t xml:space="preserve"> Нижн</w:t>
      </w:r>
      <w:r>
        <w:rPr>
          <w:bCs/>
          <w:color w:val="000000" w:themeColor="text1"/>
          <w:sz w:val="28"/>
          <w:szCs w:val="28"/>
          <w:highlight w:val="white"/>
        </w:rPr>
        <w:t xml:space="preserve">ий</w:t>
      </w:r>
      <w:r>
        <w:rPr>
          <w:bCs/>
          <w:color w:val="000000" w:themeColor="text1"/>
          <w:sz w:val="28"/>
          <w:szCs w:val="28"/>
          <w:highlight w:val="white"/>
        </w:rPr>
        <w:t xml:space="preserve"> Новгород</w:t>
      </w:r>
      <w:r>
        <w:rPr>
          <w:rFonts w:eastAsiaTheme="minorHAnsi"/>
          <w:color w:val="000000" w:themeColor="text1"/>
          <w:sz w:val="28"/>
          <w:szCs w:val="28"/>
          <w:highlight w:val="white"/>
        </w:rPr>
      </w:r>
      <w:r>
        <w:rPr>
          <w:rFonts w:eastAsiaTheme="minorHAnsi"/>
          <w:color w:val="000000" w:themeColor="text1"/>
          <w:sz w:val="28"/>
          <w:szCs w:val="28"/>
          <w:highlight w:val="white"/>
          <w:lang w:eastAsia="en-US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 Отменить: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2.1. Решение городской Думы города Нижнего Новгорода от 19.09.2018 № 188 «Об утверждении местных нормативов градостроительного проектирования городского округа город Нижний Новгород»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2.2.  </w:t>
      </w:r>
      <w:r>
        <w:rPr>
          <w:color w:val="000000" w:themeColor="text1"/>
          <w:sz w:val="28"/>
          <w:szCs w:val="28"/>
          <w:highlight w:val="none"/>
        </w:rPr>
        <w:t xml:space="preserve">Решение городской Думы города Нижнего Новгорода от 26.07.2023 №154 «О внесении изменений в местные нормативы градостроительного проектирования городского округа город Нижний Новгород, утвержденные р</w:t>
      </w:r>
      <w:r>
        <w:rPr>
          <w:color w:val="000000" w:themeColor="text1"/>
          <w:sz w:val="28"/>
          <w:szCs w:val="28"/>
          <w:highlight w:val="none"/>
        </w:rPr>
        <w:t xml:space="preserve">ешением городской Думы города Нижнего Новгорода от 19.09.2018 № 188».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2.3. </w:t>
      </w:r>
      <w:r>
        <w:rPr>
          <w:color w:val="000000" w:themeColor="text1"/>
          <w:sz w:val="28"/>
          <w:szCs w:val="28"/>
          <w:highlight w:val="none"/>
        </w:rPr>
        <w:t xml:space="preserve">Решение городской Думы города Нижнего Новгорода от 25.09.2024 №174 «О внесении изменений в местные нормативы градостроительного проектирования городского округа город Нижний Новгород, утвержденные р</w:t>
      </w:r>
      <w:r>
        <w:rPr>
          <w:color w:val="000000" w:themeColor="text1"/>
          <w:sz w:val="28"/>
          <w:szCs w:val="28"/>
          <w:highlight w:val="none"/>
        </w:rPr>
        <w:t xml:space="preserve">ешением городской Думы города Нижнего Новгорода от 19.09.2018 № 188».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2.4. </w:t>
      </w:r>
      <w:r>
        <w:rPr>
          <w:color w:val="000000" w:themeColor="text1"/>
          <w:sz w:val="28"/>
          <w:szCs w:val="28"/>
          <w:highlight w:val="none"/>
        </w:rPr>
        <w:t xml:space="preserve">Решение городской Думы города Нижнего Новгорода от 26.03.2025 №62 «О внесении изменений в местные нормативы градостроительного проектирования городского округа город Нижний Новгород, утвержденные р</w:t>
      </w:r>
      <w:r>
        <w:rPr>
          <w:color w:val="000000" w:themeColor="text1"/>
          <w:sz w:val="28"/>
          <w:szCs w:val="28"/>
          <w:highlight w:val="none"/>
        </w:rPr>
        <w:t xml:space="preserve">ешением городской Думы города Нижнего Новгорода от 19.09.2018 № 188».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2.5. </w:t>
      </w:r>
      <w:r>
        <w:rPr>
          <w:color w:val="000000" w:themeColor="text1"/>
          <w:sz w:val="28"/>
          <w:szCs w:val="28"/>
          <w:highlight w:val="none"/>
        </w:rPr>
        <w:t xml:space="preserve">Решение городской Думы города Нижнего Новгорода от 21.08.2025 №168 «О внесении изменений в местные нормативы градостроительного проектирования городского округа город Нижний Новгород, утвержденные р</w:t>
      </w:r>
      <w:r>
        <w:rPr>
          <w:color w:val="000000" w:themeColor="text1"/>
          <w:sz w:val="28"/>
          <w:szCs w:val="28"/>
          <w:highlight w:val="none"/>
        </w:rPr>
        <w:t xml:space="preserve">ешением городской Думы города Нижнего Новгорода от 19.09.2018 № 188».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7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14:ligatures w14:val="none"/>
        </w:rPr>
        <w:t xml:space="preserve">2.6. Решение Земского собрания Кстовского муниципального района Нижегородской области от 22.08.2017 № 69 </w:t>
      </w:r>
      <w:r>
        <w:rPr>
          <w:color w:val="000000" w:themeColor="text1"/>
          <w:sz w:val="28"/>
          <w:szCs w:val="28"/>
          <w:highlight w:val="none"/>
        </w:rPr>
        <w:t xml:space="preserve">«Об утверждении местных нормативов градостроительного проектирования Кстовского муниципального района»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«День города. Нижний Новгород»,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газете «Маяк+», в сетевом издании «Маяк».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Юридическому департаменту администрации города Нижнего Новгорода (Витушкина Т.А.) обеспечить размещение на официальном сайте администрации города Нижнего Новгорода в информационно-телекоммуникационной сети «Интернет» настоящего постановления.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Управлению информационно-коммуникационной политики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 Кстовского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обеспечить размещение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 Кстовского муниципального округа Нижегородской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информационно-телекоммуникационной сети «Интернет» настоящего постановления.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в пункте 1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Мест</w:t>
      </w:r>
      <w:r>
        <w:rPr>
          <w:bCs/>
          <w:color w:val="000000" w:themeColor="text1"/>
          <w:sz w:val="28"/>
          <w:szCs w:val="28"/>
          <w:highlight w:val="white"/>
        </w:rPr>
        <w:t xml:space="preserve">ные нормативы градостроительного проектирования </w:t>
      </w:r>
      <w:r>
        <w:rPr>
          <w:bCs/>
          <w:color w:val="000000" w:themeColor="text1"/>
          <w:sz w:val="28"/>
          <w:szCs w:val="28"/>
          <w:highlight w:val="white"/>
        </w:rPr>
        <w:t xml:space="preserve">город</w:t>
      </w:r>
      <w:r>
        <w:rPr>
          <w:bCs/>
          <w:color w:val="000000" w:themeColor="text1"/>
          <w:sz w:val="28"/>
          <w:szCs w:val="28"/>
          <w:highlight w:val="white"/>
        </w:rPr>
        <w:t xml:space="preserve">ского округа город</w:t>
      </w:r>
      <w:r>
        <w:rPr>
          <w:bCs/>
          <w:color w:val="000000" w:themeColor="text1"/>
          <w:sz w:val="28"/>
          <w:szCs w:val="28"/>
          <w:highlight w:val="white"/>
        </w:rPr>
        <w:t xml:space="preserve"> Нижн</w:t>
      </w:r>
      <w:r>
        <w:rPr>
          <w:bCs/>
          <w:color w:val="000000" w:themeColor="text1"/>
          <w:sz w:val="28"/>
          <w:szCs w:val="28"/>
          <w:highlight w:val="white"/>
        </w:rPr>
        <w:t xml:space="preserve">ий</w:t>
      </w:r>
      <w:r>
        <w:rPr>
          <w:bCs/>
          <w:color w:val="000000" w:themeColor="text1"/>
          <w:sz w:val="28"/>
          <w:szCs w:val="28"/>
          <w:highlight w:val="white"/>
        </w:rPr>
        <w:t xml:space="preserve"> Новгород</w:t>
      </w:r>
      <w:r>
        <w:rPr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применяется с 01 января 2026 года.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Контроль за исполнением постановления возложить на первого заместителя главы администрации города Нижнего Новгорода Скалкина Д.А.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1030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18"/>
                <w:highlight w:val="white"/>
              </w:rPr>
              <w:t xml:space="preserve">Глава города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18"/>
                <w:highlight w:val="white"/>
              </w:rPr>
              <w:t xml:space="preserve"> Ю.В.Шалабаев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1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  <w:t xml:space="preserve">        </w:t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18"/>
          <w:highlight w:val="white"/>
        </w:rPr>
        <w:tab/>
        <w:t xml:space="preserve"> </w:t>
      </w:r>
      <w:r>
        <w:rPr>
          <w:rFonts w:ascii="Times New Roman" w:hAnsi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1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  <w:r>
        <w:rPr>
          <w:rFonts w:ascii="Times New Roman" w:hAnsi="Times New Roman" w:cs="Times New Roman"/>
          <w:sz w:val="28"/>
          <w:szCs w:val="1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Коновницына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467 10 36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Утверждены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постановлением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Нижнего Новгорода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от                            N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МЕСТНЫЕ НОРМАТИВЫ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ГРАДОСТРОИТЕЛЬНОГО ПРОЕКТИРОВАНИЯ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 НИЖНИЙ НОВГОРОД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- Нормативы)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Нормативы градостроительного проектирования 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родского округа города Нижнего Новгорода (далее - Нормативы) устанавливают обязательные требования при строительстве и реконструкции объектов капитального строительства на территории муниципального образования городской округ город Нижний Новгород в целях: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обеспечения устойчивости развития территории муниципального образования городской округ город Нижний Новгород;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обеспечения рационального использования природных ресурсов, охраны окружающей среды, сохранения и развития природных комплексов;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обеспечения сохранения памятников истории и культуры, сохранения исторической среды;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обеспечения защиты территории от неблагоприятного воздействия природного и техногенного характера;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обеспечения определенных законодательством Российской Федерации и Нижегородской области социально гарантированных условий жизнедеятельности населения, создания условий для привлечения инвестиций в ходе реализации документов территориального планирования.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5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Нормативы определяются особенностями пространственной организации и функционального назначения территорий городского округа город Нижний Новгород, которые характеризуются историческими традициями организации расселения населения и размещения мест прил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ожения труда, планируемыми приоритетными преобразованиями в пространственной организации городского округа город Нижний Новгород, планируемыми инфраструктурными изменениями, требованиями сохранения и приумножения историко-культурного и природного наследия.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1.3. Настоящие Нормативы определяются: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особенностями пространственной организации и функционального назначения территорий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городского округа город Нижний Новгород, которые характеризуются историческими традициями организации расселения населения и размещения мест прил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ожения труда, планируемыми приоритетными преобразованиями в пространственной организации городского округа город Нижний Новгород, планируемыми инфраструктурными изменениями, требованиями сохранения и приумножения историко-культурного и природного наследия;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особенностями населенных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пунктов  городского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округа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которые характеризуются типом населенного 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нкта - городског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или сельского населенного пункта, планируемой численностью населения в населенном пункте, принимаемой в соответствии с программами социально-экономического развития Нижегородской области и муниципального образования городской округ город Нижний Новгород;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 Основные понятия, используемые в настоящих Нормативах.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5.1.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1.5.2. Безопасность гидротехнических сооружений - свойство гидротехнических сооружений, позволяющее обеспечивать защиту жизни, здоровья и законных интересов людей, окружающей среды и хозяйственных объектов.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1.5.3. Бульвар - озелененная территория общего пользования вдоль транспортных магистралей, набережных в виде полосы озеленения различной ширины, предназначенная для транзитного пешеходного движения и кратковременного отдыха.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Велосипед 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при помощи педалей или рукояток и может также име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коммуникации в виде велосипедных дорожек или велосипедных полос, предназначенные для движения велосипедистов и лиц, использующих для передвижения средства индивидуальной мобильности.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1.5.6. Велосипедист - лицо, управляющее велосипедом.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Велосипедная дорожка (далее также - велодорожки)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обособленная дорога, расположенная вне прое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зжей части непосредственно возле тротуара или возле проезжей части, с отделением движения велосипедистов и лиц, использующих для передвижения средства индивидуальной мобильности, от тротуара и (или) проезжей части, в том числе с помощью технических средств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организации дорожного движения, элементов благоустройства, либо изолированная дорога, расположенная вне проезжей части и тротуара, предназначенная только для движения велосипедистов и лиц, использующих для передвижения средства индивидуальной мобильности.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1.5.8.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елосипедная полоса (далее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велополосы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- полоса, выделенная на проезжей части дороги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улицы разметкой и предназначенная исключительно для движения велосипедистов и лиц, использующих для передвижения средства индивидуальной мобильности.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Велопешеходная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дорожка - велосипедная дорожка, предназначенная для раздельного или совместного с пешеходами движения велосипедистов и обозначенная дорожными знаками.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1.5.10. Гидротехнические сооружения - плотины, здания гидроэлект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ростанций, водосбросные, водоспускные и водовыпускные сооружения, туннели, каналы, насосные станции, судоходные шлюзы, судоподъемники; сооружения, предназначенные для защиты от наводнений, разрушений берегов и дна водохранилищ, рек; сооружения (дамбы), огр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аждающие хранилища жидких отходов промышленных и сельскохозяйственных организаций; устройства от размывов на каналах, а также другие сооружения, здания, устройства и иные объекты, предназначенные для использования водных ресурсов и предотвращения негативно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 воздействия вод и жидких отходов, за исключением объектов централизованных систем горячего водоснабжения, холодного водоснабжения и (или) водоотведения, предусмотренных Федеральным законом от 7 декабря 2011 г. № 416-ФЗ «О водоснабжении и водоотведении».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1.5.11.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Двор без машин» - концепция организации приватной придомовой территории жилой группы, которая исключает проезд на такую территорию какого-либо автотранспорта, за исключением автомобилей специальных служб.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1.5.12. 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умозащитные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ветрозащитные устройства; подобные сооружения.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Зеленые насаждения - древесно-кустарниковая и травянистая растительность естественного и искусственного происхождения, включая растительность в парках, на бульварах, в скверах, садах, цветниках и на газонах, а также отдельно стоящие деревья и кустарники.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1.5.14. Жилая группа - часть территории жилого квартала, участок (участки) размещения одного или нескольких смежно расположенных многоквартирных домов, образующих группу, объединенных общей приватной придомовой территорией.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1.5.15. Жилой квартал - элемент планировочной структуры территории жилого микрорайона, не расчлененный улично-дорожной сетью, в границах красных линий улично-дорожной сети, полос отвода линейных объектов инженерной и транспортной инфрастр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уктуры, территорий общего пользования, в том числе озелененных территорий общего пользования, предназначенный для размещения объединенных внутриквартальными проездами участков территории жилых групп и объектов повседневного обслуживания населения квартала.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1.5.16. Жилой район - жилая территория (часть жилой территории) населенного пункта, состоящая из нескольких кварталов (микрорайонов), ограниченная магистральными улицами, естественными и искусственными рубежами.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1.5.17. Жилой микрорайон - элемент планировочной структуры населенного пункта, не расчлененный магистральны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 улицами и дорогами, в границах красных линий магистральных или местных улиц, полос отвода железнодорожного транспорта, наземного внеуличного транспорта общего пользования, границ рекреационных зон и на территории которого размещается преимущественно жил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ая застройка, в границах которого обеспечивается обслуживание населения объектами повседневного и периодического спроса, включая общественные пространства и озелененные территории, состав, вместимость и размещение которых рассчитаны на жителей микрорайона.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.5.18.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препятствиями для такого движения, прогона (зимники, мосты, переправы по льду, путепроводы, трубопроводы, тоннели, эстакады, подобные сооружения).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1.5.19. Квартал - элемент планировочной структуры функциональных зон (жилых, общественно-деловых, производственных зон и др.) в границах красных линий, естественных границах природных объектов и иных границах.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1.5.20. Квартал сохраняемой застройки - квартал, на территории которого при проектировании планировки и застройки замена и (или) новое строительство составляют не более 25% фонда существующей застройки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1.5.21. Коэффициент застройки - отношение площади, занятой под зданиями и сооружениями, к площади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1.5.22. Коэффициент плотности застройки - отношение суммарной поэтажной площади зданий и сооружений к площади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1.5.23. Лесопарк - озелененная территория общего пользования, благоустроенный участок городских лесов, предназначенный для активного и пассивного отдыха населения.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1.5.24. Набережная - территория общего пользования, расположенная вдоль берегов рек, озер, водохранилищ и других водных объектов, предназначенная для целей рекреации.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1.5.25. Объекты регионального значения - объекты капитального строительства, иные объекты, территории, которые необходимы для осуществления полномочий по вопросам, отнесенным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ведению Нижегородской области, органов государственной власти Нижегородской области Конституцией Российской Федерации, федеральными 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нституционными законами, федеральными законами, Уставом Нижегородской области, законами Нижегородской области, правовыми актами Правительства Нижегородской области, и оказывают существенное влияние на социально-экономическое развитие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1.5.26. 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ия и в пределах переданных государственных полномочий в соответствии с федеральными законами, законами Нижегородской области, уставами муниципальных образований и оказывают существенное влияние на социально-экономическое развитие муниципальных образований.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1.5.27. Объекты улично-дорожной сети - аллеи, бульвары, магистрали, переулки, площади, проезды, проспекты, проулки, разъезды, спуски, тракты, тупики, улицы, шоссе.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1.5.28. Озелененные территории - территории различного функционального назначения, покрыт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1.5.29. Озелененные территории общего пользования - территории, используемые для рекреационных целей (парки, сады, скверы, бульвары, набережные и другие рекреационно-природные территории).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1.5.30. Парк - озелененная территория общего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пользования, предназначенная для осуществления рекреационной деятельности в целях организации отдыха, туризма, физкультурно-оздоровительной и спортивной деятельности, проведения культурно-массовых мероприятий, прогулочного отдыха, устройства аттракционов.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1.5.31.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арковка общего пользования - парковка (парковочное место), предназначенная для использования неограниченным кругом лиц.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1.5.32.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арковочное место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подэстакадных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подмостовых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простран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1.5.33. Плотность населения - расчетная численность населения, постоянно проживающего на территории нормирования, приходящаяся на один гектар такой территории и выраженная в чел./га.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1.5.34. Площадь застройки земельного участка (квартала, жилого района) - выраженная в квадратных метрах суммарная площадь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горизонтальных сечений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возведенных на нем зданий на уровне цоколя, включая выступающие части.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1.5.35. Площадь здания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уммарная поэтажная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площадь здания, которая определяется как сумма площадей всех наземных этажей зданий в габаритах наружных стен, включая технический, мансардный, а также цокольный этаж, если верх его перекрытия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лоджий и балконов, наружных застекленных галерей, а также переходов в другие здания.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1.5.36. Площадь жилого здания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сумма площадей этажей здания, измеренных в пределах внутренних поверхностей наружных стен; в площадь этажа включаются площади балконов, лоджий, террас и веранд, а также лестничных площадок и ступеней с учетом их площади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уровне данного этажа.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площадь этажа не включается площадь проемов для лифтовых и других шахт, эта площадь учитывается на нижнем этаже.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Площади подполья для проветривания здания, неэксплуатируемого чердака, технического подполья, технического чердака,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внеквартирных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инженерных коммуникаций с вертикальной (в каналах, ша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хтах) и горизонтальной (в межэтажном пространстве) разводкой, а также тамбуров, портиков, крылец, наружных открытых лестниц и пандусов в площадь здания не включаются.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Эксплуатируемая кровля при подсчете общей площади здания приравнивается к площади террас.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1.5.37. Площадь многоквартирного дома - сумма площадей этажей в многоквартирном доме, измеряемая между внутренними поверхностями наружных стен на высоте от нуля до 1,10 м от уровня пола, при наклонных наружных стенах - на уровне пола (без учета плин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тусов), с учетом особенностей, предусмотренных приложением А СП 54.13330.2022 «СНиП 31-01-2003. Здания жилые многоквартирные», утвержденного приказом Министерства строительства и жилищно-коммунального хозяйства Российской Федерации от 13 мая 2022 г. № 361/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1.5.38. Пл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ощадь общественного здания, сооружения - сумма площадей всех этажей общественного здания, сооружения (включая технический, мансардный, цокольный, подвальный и иные), определяемая в пределах внутренних поверхностей наружных стен, а также эксплуатируемой кро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вли, с учетом особенностей, предусмотренных СП 118.13330.2022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СНиП 31-06-2009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Общественные здания и сооружения», утвержденным приказом Министерства строительства и жилищно-коммунального хозяйства Российской Федерации от 19 мая 2022 г. №389/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1.5.39.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оперечный профиль - поперечное сечение улицы или дороги, которое, в зависимости от категории, включает: проезжую часть, боковые проезды, тротуары (пешеходные, технические),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полосы озеленения, полосы размещения ограждений, полосы безопасности, краевые и разделительные полосы, переходно-скоростные полосы, зоны озеленения, обочины, а также зоны для размещения инженерных коммуникаций и другие элементы.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1.5.40 Проблемные объекты - многоквартирные дома и (или) иные объекты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недвижимости, сведения о которых включены в единый реестр проблемных объектов и (или) содержатся в реестре граждан, пострадавших от действий (бездействия) застройщиков, привлекающих денежные средства граждан для строительства многоквартирных домов, на 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ритории Нижегородской области, или застройщик которых признан несостоятельным (банкротом) и при его банкротстве применены правила параграфа 7 «Банкротство застройщиков» Федерального закона от 26 октября 2002 г. № 127-ФЗ «О несостоятельности (банкротстве)».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1.5.41. Сад - озелененная территория общего пользования, предназначенная для организации специализированных видов отдыха, создания благоприятных эстетических условий, отдыха населения, познавательных и рекреационных целей;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1.5.42. Сквер - озелененная территория общего пользования, являющаяся элементом оформления площади, части улицы или квартала. Скверы предназначены для пешеходного движения и организации кратковременного отдыха.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1.5.43. 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электросамокаты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электроскейтборды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гироскутеры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сегвеи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моноколеса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иные аналогичные средства).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1.5.44. Стесненные условия - существующие условия сложившейся застройки, имеющей плотность выше нормативной, и (или) условия, исключающие возможность существенно изменять планировочные параметры размещаемых объектов.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1.5.45. Стоянка автомобилей (стоянка, паркинг, парковка, гараж, гараж-стоянка) - здание, сооружение (часть здания, сооружения) или специальная открытая площадка (плоскостная стоянка открытого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типа), предназначенная для хранения (стоянки) легковых автомобилей и других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мототранспортных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средств (мотоциклов, мотороллеров, мотоколясок, мопедов, скутеров и т.п.). Стоянка автомобилей включает следующие виды: встроенные, встрое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нно-пристроенные, отдельно стоящие, пристроенные, подземные, наземные закрытого типа, плоскостные открытого типа, открытого типа, модульные, быстровозводимые, плавучие (дебаркадерные), механизированные, полумеханизированные (обвалованные, перехватывающие).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1.5.46. Территории инвестиционного развития - территории, в границах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земельные  участки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 находящиеся  в  собственности Нижегородской области, а также  земельные  участки,  государственная  собственность  на  которые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разграничена,  предоставляются  юридическим  лицам  в аренду без проведении торгов  в  соответствии  с пунктом 8 части 4 статьи 8  Закона Нижегородской области  от 13 декабря 2005 г. № 192-З «О регулировании земельных отношений в Нижегородской области».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1.5.47. 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ранение транспортного средства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временное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пребывание транспортного средства на парковке менее 12 часов.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1.5.48. Хранение транспортного средства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постоянное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длительное (более 12 часов) пребывание транспортного средства на парковке.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1.5.49. Этажность -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 определении эт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ажности жилого дома в число этажей включаются все надземные этажи, в том числе технический, мансардный и цокольный, если верх его перекрытия находится выше средней планировочной отметки земли не менее чем на 2 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определении этажности здания не учитыва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ются отдельные технические помещения (машинные отделения лифтов, котельные и т.п.), а также аттиковые элементы архитектурной композиции, являющиеся помещениями второго уровня или вторым светом последнего этажа, не превышающими 20% площади последнего этажа.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1.6. Населенные пункты в зависимости от проектной численности населения на прогнозируемый период подразделяются на группы в соответствии с таблицей 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4394"/>
        <w:gridCol w:w="3828"/>
      </w:tblGrid>
      <w:tr>
        <w:tblPrEx/>
        <w:trPr>
          <w:trHeight w:val="0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Группы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населенных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22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Население (тыс. человек)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Крупнейшие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Крупные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250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Большие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100 до 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 до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50 до 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0,2 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98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Малые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W w:w="10206" w:type="dxa"/>
            <w:vMerge w:val="restart"/>
            <w:textDirection w:val="lrTb"/>
            <w:noWrap w:val="false"/>
          </w:tcPr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hyperlink w:tooltip="Таблица 1.1" w:anchor="P16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Таблица 1.1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выполнена на основе таблицы 1 СП 42.13330.2011 «СНиП 2.07.01.-89* Градостроительство. Планировка и застройка городских и сельских поселений» с учетом региональных особенностей.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1.7. Санитарно-защитные зоны и разрывы при размещении объектов определяются в каждом конкретном случае в соответствии с требованиями действующих государственных санитарно-эпидемиологических правил и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1.8. Требования пожарной безопасности должны соблюдаться при подготовке документации по планировке территории и проектной документации по строительству, реконструкции объекта капитального строительства.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Согласование комплекса необходимых инженерно-технических и организационных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мероприятий по обеспечению пожарной безопасности для объектов защиты, в отношении которых отсутствуют требования пожарной безопасности, установленные нормативными правовыми актами Российской Федерации и нормативными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документами по пожарной безопасности, производится в порядке, установленном приказом МЧС России от 28 ноября 2011 г. № 710 «Об утверждении Административного регламента Министерства Российской Федерации по делам гражданской обороны, чрезвычайным ситуациям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ликвидации последствий стихийных бедствий предоставления государственной услуги по согласованию специальных технических условий для объектов, в отношении которых отсутствуют требования пожарной безопасности, установленные нормативными правовыми актами 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сийской Федерации и нормативными документами по пожарной безопасности, отражающих специфику обеспечения их пожарной безопасности и содержащих комплекс необходимых инженерно-технических и организационных мероприятий по обеспечению их пожарной безопасности».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Расчетные показатели минимально допустимого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уровня обеспеченности объектами регионального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местного значения и расчетные показатели максимально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таких объектов для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Расчетные показатели минимально допустимого уровня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максимально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энергетических систем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504"/>
        <w:gridCol w:w="2819"/>
        <w:gridCol w:w="3764"/>
        <w:gridCol w:w="2835"/>
      </w:tblGrid>
      <w:tr>
        <w:tblPrEx/>
        <w:trPr/>
        <w:tc>
          <w:tcPr>
            <w:tcW w:w="50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1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 регионального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76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Значение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энергетики и инженерной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Подстанции и линии электропередачи напряжением не выше 500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кВт.ч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/год на 1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крупнейший - 2400;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большой - 2000;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средний - 1700;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малые - 1350;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пункты - 950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850" w:right="850" w:bottom="850" w:left="1134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280" w:type="pct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92"/>
        <w:gridCol w:w="1835"/>
        <w:gridCol w:w="1445"/>
        <w:gridCol w:w="1191"/>
        <w:gridCol w:w="1873"/>
        <w:gridCol w:w="1970"/>
        <w:gridCol w:w="1048"/>
        <w:gridCol w:w="293"/>
        <w:gridCol w:w="517"/>
        <w:gridCol w:w="451"/>
        <w:gridCol w:w="358"/>
        <w:gridCol w:w="245"/>
        <w:gridCol w:w="222"/>
        <w:gridCol w:w="223"/>
        <w:gridCol w:w="284"/>
        <w:gridCol w:w="227"/>
        <w:gridCol w:w="423"/>
        <w:gridCol w:w="1444"/>
      </w:tblGrid>
      <w:tr>
        <w:tblPrEx/>
        <w:trPr/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0" w:type="dxa"/>
            <w:vMerge w:val="restart"/>
            <w:textDirection w:val="lrTb"/>
            <w:noWrap w:val="false"/>
          </w:tcPr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2.2. Предельные значения расчетных показателей 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обеспеченности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предельные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расчетных показателей максимально допустимого уровня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 объектов инженерной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инфраструктуры регионального и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740" w:type="dxa"/>
            <w:vMerge w:val="restart"/>
            <w:textDirection w:val="lrTb"/>
            <w:noWrap w:val="false"/>
          </w:tcPr>
          <w:p>
            <w:pPr>
              <w:pStyle w:val="988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Таблица 2.2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4" w:space="0"/>
            </w:tcBorders>
            <w:tcW w:w="770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Предельное значение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Электростанции, подстанция 35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переключательные пункты, трансформаторные подстанции, линии электропередачи 35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Норматив потребления коммунальных услуг по электроснабжению,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кВт.ч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/чел./мес., при количестве проживающих человек в квартире (жилом доме)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комнат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человек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наличии электрической плиты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комната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комнаты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комнаты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197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комнаты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наличии газовой плиты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комната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комнаты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комнаты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97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комнаты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4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9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отводимого для понизительных подстанций 35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 переключательных пунктов,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отводимого для трансформаторных подстанций, распределительных и секционирующих пунктов,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Мачтовые подстанции мощностью от 25 до 250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Комплектные подстанции с одним трансформатором мощностью от 25 до 630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Комплектные подстанции с двумя трансформаторами мощностью от 160 до 630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Подстанции с двумя трансформаторами закрытого типа мощностью от 160 до 630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Распределительные пункты наружной установки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Распределительные пункты закрытого типа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Секционирующие пункты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Пункты редуцирования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газа, резервуарные установки сжиженных углеводородных газов, газонаполнительные станции, газопровод распределительный, газопроводы попутного нефтяного газа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Удельные расходы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природного и сжиженного газа для различных коммунальных нужд, куб. м в месяц на 1 человека для природного газа, кг в месяц на 1 человека для сжиженного газа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Направление использования природного газа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Единицы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Норматив потребления,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куб.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приготовление пищи и подогрев воды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(при наличии центрального отопления и центрального горячего водоснабжения)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(при отсутствии газового водонагревателя (колонки) и центрального горячего водоснабжения)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и газовый водонагреватель (колонка) (при отсутствии центрального горячего водоснабжения)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28,2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Газовый водонагреватель (колонка)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17,2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отопление жилых помещений от газовых приборов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жилых домах с местным отоплением от газовых приборов АГВ (АОГВ) без отключения на летний период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кв. м отапливаемой площади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жилых домах с местным отоплением от газовых приборов АГВ (АОГВ) с отключением на летний период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кв. м отапливаемой площади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Направление использования сжиженного газа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Единицы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Норматив потребления, кг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Приготовление пищи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и централизованное горячее водоснабжение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6,91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Приготовление пищи и подогрев воды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и газовый водонагреватель (при отсутствии централизованного горячего водоснабжения)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16,88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Газовая плита (при отсутствии централизованного горячего водоснабжения и газового водонагревателя)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17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человека в месяц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0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10,42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 для размещения пунктов редуцирования газа,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 для размещения газонаполнительной станции,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Производительность ГНС, тыс. т/год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участка,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38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9"/>
            <w:tcW w:w="38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земельных участков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газонаполнительных пунктов и промежуточных складов баллонов не более,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Котельные, тепловые перекачивающие насосные станции, центральные тепловые пункты, теплопровод магистральный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Удельные расходы тепла на отопление жилых зданий, кДж/(кв. м °C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.) общей площади здания по этажности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018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Отапливаемая площадь дома,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1"/>
            <w:tcW w:w="468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Этажность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4, 5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 и менее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1000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7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7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 для отдельно стоящих котельных в зависимости от мощности,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018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Теплопроизводительность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котельной,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Гкал/ч (МВт)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1"/>
            <w:tcW w:w="468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Размеры земельных участков,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га, котельных, работающих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твердом топливе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газомазутном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топливе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св. 5 до 10 (св. 6 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св. 10 до 50 (св. 12 до 58)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св. 50 до 100 (св. 58 до 116)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св. 100 до 200 (св. 16 до 233)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св. 200 до 400 (св. 233 до 466)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08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60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Водозаборы, станции водоподготовки (водопроводные очистные сооружения), насосные станции, резервуары, водонапорные башни, водопровод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удельного водопотребления, л/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на 1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Степень благоустройства районов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Минимальная норма удельного хозяйственно-питьевого водопотребления на одного жителя среднесуточная (за год), л/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на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без ванн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 ванными и местными водонагревателями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внутренним водопроводом и канализацией,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 ванными и централизованным горячим водоснабжением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 для размещения станций водоподготовки в зависимости от их производительности следует принимать по проекту, но не более,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Производительность станций водоподготовки, тыс. куб. м/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0,1 до 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0,2 до 0,4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0,4 до 0,8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0,8 до 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12 до 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32 до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80 до 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125 до 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250 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6"/>
            <w:tcW w:w="4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400 до 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306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Очистные сооружения, канализационны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 насосные станции, канализация магистральная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удельного водоотведения,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на 1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488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Степень благоустройства районов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Минимальная норма удельного водоотведения 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одного жителя среднесуточная (за год), л/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на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7"/>
            <w:tcW w:w="488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без ванн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7"/>
            <w:tcW w:w="488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с ванными и местными водонагревателями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7"/>
            <w:tcW w:w="488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Застройка зданиями, оборудованными внутренним водопроводом и канализацией, с ванными и централизованным горячим водоснабжением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Ориентировочные размеры земельного участка для размещения канализационных очистных сооружений в зависимости от их производительности,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018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Производительность канализационных очистных сооружений, тыс. куб. м/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1"/>
            <w:tcW w:w="468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Размеры земельных участков,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Очистных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Иловых площадок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Биологических прудов глубокой очистки сточных вод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0,7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0,7 до 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17 до 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40 до 130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130 до 175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175 до 280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95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280 тыс. куб. м/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1"/>
            <w:tcW w:w="468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Следует принимать по проектам, разработанным при согласовании с Управлением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Роспотребнадзора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по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Ориентировочные размеры участков для размещения сооружений систем водоотведения и расстояние от них до жилых и общественных зданий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участка,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до жилых и общественных зданий,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Очистные сооружения поверхностных сточных вод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зависимости от производительности и типа сооружения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282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Санитарно-защитные зоны и санитарные разрывы при размещении объектов определяются в каждом конкретном случае в соответствии с действующими санитарно-эпидемиологическими правилами и нормативами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Внутриквартальная канализационная насосная станция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10x10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01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Эксплуатационные площадки вокруг шахт тоннельных коллекторов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186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20x20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Размеры земельных участков очистных сооружений локальных систем канализации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Следует принимать в зависимости от грунтовых условий и количества сточных вод, но не более 0,25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63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3"/>
            <w:tcW w:w="77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8"/>
            <w:tcW w:w="147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Расстояние от инженерных коммуникаций до объектов культурного наследия и их территорий следует принимать из расчета, м, не менее: от сетей водопровода, канализации и теплоснабжения (кроме разводящих) - 15, до других подземных инженерных сетей - 5.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В условиях реконструкции объектов культурного наследия указанные расстояния допускается сокращать, но принимать, м, не менее: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водонесущих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сетей - 5,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неводонесущих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- 2.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left="0" w:right="0" w:firstLine="42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пределах территории городского округа город Нижний Новгород размещение инженерных сетей следует предусматривать в подземном исполнении, за исключением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границ территорий производственно-коммунальных объектов.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8"/>
        <w:ind w:left="0" w:right="0" w:firstLine="42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2.2.2.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Надземный способ размещения электрических сетей напряжением до 0,4 кВ и сетей связи допускается в границах земельных участков, предоставленных садоводческим, огородническим или дачным некоммерческим объединениям граждан, а также в границах элементов планир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овочной структуры, занимаемых индивидуальными жилыми домами.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8"/>
        <w:ind w:left="0" w:right="0" w:firstLine="42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отсутствии технической возможности подземного размещения инженерной коммуникации, подтвержденной сведениями из информационной системы обеспечения градостроительной деятельности, допускается надземный способ размещения инженерной коммуникации.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8"/>
        <w:ind w:left="0" w:right="0" w:firstLine="42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Прокладку и переустройство подземных коммуникаций при пересечении ими магистралей, площадей общегородского значения следует предусматривать закрытым (подземным) способом без вскрытия благоустроенной поверхности.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88"/>
        <w:ind w:left="0" w:right="0" w:firstLine="42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ligatures w14:val="none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Расчетные показатели минимально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максимально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транспорта, путей сообщения регионального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-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31"/>
        <w:gridCol w:w="2436"/>
        <w:gridCol w:w="2721"/>
        <w:gridCol w:w="3061"/>
        <w:gridCol w:w="5366"/>
      </w:tblGrid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Значение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автомобильного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Автостанции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Вместимость автостанции, пассажиров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100 до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 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постов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(посадки/высадки)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отправлении от 100 до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(1/1)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 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(2/1)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(2/1)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(3/2)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 на один пост посадки-высадки пассажиров (без учета привокзальной площади),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Малые автовокзалы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Вместимость автовокзала, пассажиров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1000 до 2000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2000 до 3000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3000 до 4000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Средние автовокзалы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Вместимость автовокзала, пассажиров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4000 до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6000 до 8000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8000 до 10000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Большие автовокзалы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Вместимость автовокзала, пассажиров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10000 до 15000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15000 до 20000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20000 до 25000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25000 до 30000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30000 до 40000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40000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Посты посадки, высадки пассажиров автовокзалов и автостанций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100 до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(1/1)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 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(2/1)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(2/1)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5(3/2)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1000 до 2000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(5/3)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2000 до 3000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(6/3)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3000 до 4000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 (7/4)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4000 до 6000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 (8/4)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6000 до 8000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(9/5)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расчетном суточном отправлении от 8000 до 10000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(10/5)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10000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добавляется 1 пост (место) на каждые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2000 мест посадки или 4000 мест высадки пассажиров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воздушного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Вертолетные площадки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до селитебной территории в направлении взлета (посадки), 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между боковой границей посадочной площадки до селитебной территории, 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431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водного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Причалы (пристани)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участка береговых баз и мест стоянки маломерных судов, принадлежащих спортивным клубам и отдельным гражданам;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одноярусном стеллажном хранении судов (одно место),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прогулочного флота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спортивного флота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от стоянок маломерных судов,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участков больниц и санаториев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36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42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 Параметры застройки жилых зон.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Параметры элементов планировочной 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2.4.1. Жилой микрорайон формируется группой кварталов. Площадь территории жилого микрорайона - от 10 до 60 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2.4.2. Доля нежилого фонда (за исключением дошкольных образовательных и общеобразовательных организаций) в объеме фонда застройки микрорайона не должна превышать 40%.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2.4.3. Жилые кварталы формируются на территории микрорайона.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2.4.4. В составе смешанных и общественно-деловых зон с высокой плотностью улично-дорожной сети жилую застройку допускается формировать в виде отдельных жилых кварталов.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2.4.5. При формировании жилых кварталов общая площадь жилой части зданий должна составлять не менее 40% общей площади застройки, размещаемой в границах квартала.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2.4.6. Жилые группы размещаются на территории жилого квартала. В состав жилой группы входят жилые здания со встроенно-пристроенными помещениями объектов обслуживания, приватная придомовая территория с элементами благоустройства.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2.4.7. Планировочными границами участка жилой группы являются территории общего пользования, участки объектов общественно-делового назначения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социальной инфраструктуры, организаций образования, объектов хранения и парковки индивидуального автотранспорта, в случае примыкания - красные линии (границы полос отвода) улично-дорожной сети. Рекомендуемый размер участка жилой группы - не более 1,5 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2.4.8. Приватная придомовая территория включает следующие обязательные элементы: подходы и подъезды к входным группам зданий, в том числе подъезды к входным группам жилых зданий специальных и специализ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средств), территории зеленых насаждений с площадками отдыха взрослого населения и детскими игровыми площадками.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2.4.9. При проектировании жилых кварталов для участка (участков) каждой жилой группы, каждого многоквартирного дома, не входящего в состав жило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группы, а также для группы индивидуальных жилых домов, жилых домов блокированной застройки, участки размещения которых смежно расположены и объединены внутриквартальными проездами и объектами повседневного обслуживания населения, следует предусматривать: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примыкание не менее одной стороны границы такого участка (участков) к территории общего 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подъезды к такому участку (участкам), в том числе для специальных и специализированных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менее одного парковочного места для паркования специальных и специализированных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 для такого участка (участков).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2.4.10. В документации по планировке территории в обязательном порядке для многоквартирных домов указываются значения суммарной поэтажной площади здания.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определении в проектной документации показателя «площадь многоквартирного жилого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здания» с учетом особенностей, предусмотренных приложением А СП 54.13330.2022 «СНиП 31-01-2003. Здания жилые многоквартирные», утвержденного приказом Министерства строительства и жилищно-коммунального хозяйства Российской Федерации от 13 мая 2022 г. № 361/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площадь надземной части такого здания не должна превышать показатель «суммарная поэтажная площадь здания», установленный в утвержденной документации по планировке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2.4.11. Жилищная обеспеченность устанавливается 30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/чел., для социального жилья - 20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/чел. Расчетные показатели жилищной обеспеченности для индивидуальной жилой застройки не нормируются.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Плотность застройки элементов планировочной 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 расчет плотности застройки включаются жилые и нежилые этажи многоквартирных домов, а также отдельно стоящие объекты нежилого назначения, размещаемые в границах элемента планировочной структуры, земельного участка либо территории комплексного развития.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расчета плотности застройки территории применяется суммарная поэтажная площадь здания.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Подземные этажи зданий и сооружений не учитываются для расчета плотности застройки.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Максимальные значения коэффициентов плотности застройки приведены в настоящи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Нормативах и представляют собой отношение суммарной поэтажной площади всех зданий и сооружений к площади элемента планировочной структуры, земельного участка либо территории комплексного развития с учетом особенностей, предусмотренных настоящим разделом.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2.4.13. Максимальные значения коэффициентов плотности застройки приведены в брутто с учетом необходимых по расчету учреждений и предприятий обслуживания, гаражей, стоянок автомобилей, зеленых насаждений, площадок и других объектов благоустройства и т.п.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по обеспечению обязательным 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плексом объектов повседневного и периодического, эпизодического обслуживания, в том числе социального назначения, в целях формирования системы обслуживания и мест приложения труда, парковочными местами и стоянками, зелеными насаждениями, площадками и други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 объектами благоустройства, УДС, а также обеспечения нормативной доступности объектов транспортной инфраструктуры (станций и остановочных пунктов городского пассажирского транспорта, стоянок автомобилей, коммуникаций для движения транспорта и пешеходов).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2.4.14. Максимальные значения коэффициентов плотности застройки приведены в таблице 2.4.14.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2.4.14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Максимальные значения коэффициентов плотности застройки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654"/>
        <w:gridCol w:w="2269"/>
      </w:tblGrid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 функциональной зоны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Коэффициент плотности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6"/>
        </w:trPr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низкоплотной и среднеплотной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застройки индивидуальными жилыми домами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г. Нижнего Новгорода и г. Кстово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90"/>
        </w:trPr>
        <w:tc>
          <w:tcPr>
            <w:tcW w:w="7654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высокоплотной застройки индивидуальными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жилыми домами г. Нижнего Новгорода и г. Кстово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W w:w="7654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застройки индивидуальными жилыми домами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иных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г.о.г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Нижний Новгород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блокированной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застройки малоэтажными многоквартирными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Зона застройки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многоквартирными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формируемых кварталов на незастроенной территории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зоне застройки многоэтажными многоквартирными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квартала сохраняемой застройки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многоэтажными многоквартирными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2.4.15. Расчет коэффициента плотности застройки производится относительно границ жилого квартала, за исключением случаев, предусмотренных пунктами 2.4.17 - 2.4.18 настоящих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2.4.16. В случае если территория жилого квартала состоит из нескольких видов функциональных зон, установленных правилами землепользования и застройки, то расчет коэффициентов плотности застройки производится относительно границ таких функциональных зон.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2.4.17. 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и относительно границ территории инвестиционного разви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тия при условии наличия границ такой территории в мастер-плане территории, в отношении которой планируется деятельность по комплексному развитию (далее - мастер-план). При этом максимальное значение коэффициента плотности застройки в границах таких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рий не нормируется при условии, что в мастер-плане, согласованном протокольным решением регионального штаба по вопросам реализации градостроительной политики на территории Нижегородской области, предусмотрены с учетом имеющейся мощности объекты повседневно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го, периодического и эпизодического обслуживания, в том числе социального назначения, объекты транспортной и инженерной инфраструктуры, которые будут обеспечивать потребность в таких объектах в границах территории комплексного развития и (или) территории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нвестиционного развития, а при отсутствии возможности размещения таких объектов в границах территории комплексного развития и (или) территории инвестиционного развития определены места для их размещения и необходимая мощность согласно выполненным расчетам.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2.4.18.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При размещении объекта капитального строительства в границах земельного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участка,  предоставленного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юридическому лицу в аренду без проведения торгов в  соответствии  с  пунктами  4,  4 ,  5  или  10  части 4 статьи 8  Закона Нижегородской  области  от  13  декабря  2005  г. № 192-З «О регулировании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земельных  отношений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в  Нижегородской  области»,  допускается  производить расчет   коэффициента   плотности   застройки  относительно  границ  такого земельного  участка. Максимальное значение коэффициента плотности застройки в границах    такого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 вычетом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участков общеобразовательны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организаций,  дошкольных образовательных организаций и объектов  здравоохранения  может  быть  увеличено  до 3,0, но не более, при выполнении  одного  из  следующих  условий  за  счет  внебюджетных  средств (средств инвестора):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  расселение ветхого и (или) аварийного жилья;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выполнение мероприятий в части ликвидации участков загрязнения (ликвидация экологического ущерба);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выполнение мероприятий по созданию общественных пространств или благоустроенных территорий общего пользования (скверы, парки, бульвары и т.д.) сверх нормативной потребности, рассчитанной в соответствии с подразделом 2.3 настоящих Нормативов;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создание объектов социальной инфраструктуры в соответствии с нормативной потребностью при подтверждении имеющегося дефицита (в части объектов образования и здравоохранения);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  размещение более 90% расчетного количества парковочных мест постоянного хранения в подземных стоянках до применения понижающего коэффициента.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Расчетные показатели минимально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максимально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инженерной защиты и гидротехнических сооружений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047"/>
        <w:gridCol w:w="2693"/>
        <w:gridCol w:w="461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1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Значение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9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инженерной защиты и гидротехнических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04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Гидротехнические сооружения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1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4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1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соответствии с заданием на проектирование и требованиями по безопасности гидротехнических сооружений (Федеральный закон от 21 июля 1997 г. № 117-ФЗ «О безопасности гидротехнических сооружений»)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4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61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850" w:right="850" w:bottom="850" w:left="1134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409"/>
        <w:gridCol w:w="4110"/>
        <w:gridCol w:w="1843"/>
        <w:gridCol w:w="228"/>
        <w:gridCol w:w="622"/>
        <w:gridCol w:w="992"/>
        <w:gridCol w:w="992"/>
        <w:gridCol w:w="992"/>
        <w:gridCol w:w="992"/>
        <w:gridCol w:w="992"/>
      </w:tblGrid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2" w:type="dxa"/>
            <w:vMerge w:val="restart"/>
            <w:textDirection w:val="lrTb"/>
            <w:noWrap w:val="false"/>
          </w:tcPr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2.6. Расчетные показатели минимально допустимого уровня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 и расчетные показатели 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территориальной доступности объектов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здравоохранения регионального и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2" w:type="dxa"/>
            <w:vMerge w:val="restart"/>
            <w:textDirection w:val="lrTb"/>
            <w:noWrap w:val="false"/>
          </w:tcPr>
          <w:p>
            <w:pPr>
              <w:pStyle w:val="988"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Таблица 2.6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Значение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W w:w="1488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здравоохранения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Перинатальный центр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соответствии с нормативами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соответствии с нормативами и заданием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Лечебно-профилактические медицинские организации, оказывающие медицинскую помощь в амбулаторных условиях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посещений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181,5 на 10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га/посещений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100 посещений в смену - 0,1, но не менее 0,5 для отдельно стоящего здания, встроенные - 0,2 на 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07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доступность для сельских населенных пунктов или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их групп (с использованием транспорта), мин.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558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07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 поликлиник и их филиалов в городах,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558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При размещении лечебно-профилактических медицинских организаций по необходимости предусматривать площади для размещения молочных кухонь (или их раздаточных пунктов).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Размещение молочных кухонь (или их раздаточных пунктов) также возможно при прочих объектах общественно-делового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Лечебно-профилактические медицинские организации, оказывающие медицинскую помощь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стационарных условиях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койка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71,9 на 10 тыс. человек, 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в больничных - 71,4;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в хосписах - 0,5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кв. м/койка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вместимости, коек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50 до 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200 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400 до 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800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на 1 койку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На 1 койко-место для детей следует принимать норму всего стационара с коэффициентом 1,5.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На 1 койко-место для родильных домов следует принимать норму всего стационара с коэффициентом 0,7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Медицинские организации скорой медицинской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на 10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500 на 1 автомобиль, но не менее 2000 на 1 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пределах 30-минутной доступности автомобиля до пациента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Медицинские организации особого типа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76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2.7. Расчетные показатели минимально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максимально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объектов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left"/>
        <w:spacing w:before="0" w:beforeAutospacing="0" w:after="0" w:afterAutospacing="0" w:line="240" w:lineRule="auto"/>
        <w:tabs>
          <w:tab w:val="left" w:pos="15732" w:leader="none"/>
          <w:tab w:val="left" w:pos="1587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Таблица 2.7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4638" w:type="pct"/>
        <w:tblInd w:w="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126"/>
        <w:gridCol w:w="1843"/>
        <w:gridCol w:w="2551"/>
        <w:gridCol w:w="1840"/>
        <w:gridCol w:w="712"/>
        <w:gridCol w:w="495"/>
        <w:gridCol w:w="639"/>
        <w:gridCol w:w="574"/>
        <w:gridCol w:w="560"/>
        <w:gridCol w:w="709"/>
      </w:tblGrid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10"/>
            <w:tcW w:w="1204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Предельные значения расчетных показателей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Предельное значение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W w:w="1488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Дошкольные 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85% охват от общего числа детей в возрасте от 1 до 7 лет;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35 мест на 1 тыс. человек общей численности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м/место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мощность,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обеспеченность, кв. м/место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комплексе организаций свыше 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городских населенных пунктах - 500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условиях стесненной городской застройки - 800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сельских населенных пунктах - 1000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 в одну сторону (до организации или обратно) не более 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Borders>
              <w:bottom w:val="none" w:color="000000" w:sz="4" w:space="0"/>
            </w:tcBorders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Для сельских населенных пунктов с численностью населения менее 200 человек следует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предусматривать дошкольные образовательные организации малой вместимости, объединенные с начальными классами. Минимальную обеспеченность такими организациями и их вместимость следует принимать по заданию на проектирование в зависимости от местных условий.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Для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сельских населенных пунктов при расстояниях, превышающих пешеходную доступность, для воспитанников дошкольных организаций организуется транспортное обслуживание. Обеспечение подвоза учащихся к дошкольным образовательным организациям должно осуществляться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транспорте, предназначенном для перевозки детей соответствующего возраста. Пешеходный подход учащихся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Размеры земельных участков могут быть уменьшены на 20% - в условиях реконструкции объекта и в стесненных условиях; на 15% - при размещении на рельефе с уклоном более 20%.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Для обеспечения радиуса доступности обслуживания в условиях сложившейся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застройки при отсутствии участков требуемой площади рекомендуется проектировать комплексы дошкольных образовательных организаций с отделениями малой вместимости (в том числе пристроенные, встроенно-пристроенные и встроенные в жилые и общественные здания).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Предельное значение расчетного показателя минимально допустимого уровня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ощности дошкольной образовательной организации подлежит уточнению не реже 1 раза в 5 лет с учетом данных о демографической структуре муниципального образования, принимая во внимание данные о наполняемости существующих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</w:tcBorders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учащийся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100% охват от общего числа детей в возрасте от 7 до 16 лет начальным общим и основным общим образованием, 70% охват общего числа детей в возрасте от 16 до 18 лет средним общим образованием;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 учащихся на 1 тыс. человек общей численности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м/учащийся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мощность,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обеспеченность, кв. м/учащийся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30 до 170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170 до 340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340 до 510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510 до 660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660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1000 до 1500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 для крупнейших городов в стесненных условиях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м/учащийся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мощность,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обеспеченность, кв. м/учащийся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340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969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городских населенных пунктах - 500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условиях стесненной городской застройки - 800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сельских населенных пунктах - 1000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 в одну сторону (до организации или обратно) не более 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Borders>
              <w:bottom w:val="none" w:color="000000" w:sz="4" w:space="0"/>
            </w:tcBorders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Для сельских населенных пунктов при расстояниях, превышающих пешеходную доступность, для учащихся организуется транспортное обслуживание. Обеспечение подвоза учащихся к общеобразовательным организац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иям должно осуществляться на транспорте, предназначенном для перевозки детей. Пешеходный подход учащихся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учащихся, проживающих на расстоянии свыше предельно допустимого тран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не менее 10% мест общей вместимости организации.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Размеры земельных участков общеобразовательной организации могут 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ыть уменьшены на 20% - в условиях реконструкции объекта и в стесненных условиях, за исключением крупнейших городов; увеличены на 30% - в сельских населенных пунктах, если для организации учебно-опытной работы не предусмотрены специальные земельные участки.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Спортивная зона общеобразовательной организации может быть объединена с физкультурно-оздоровительным комплексом микрорайона.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Предельное значение расчетного показателя минимально допусти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мого уровня мощности общеобразовательной организации подлежит уточнению не реже 1 раза в 5 лет с учетом данных о демографической структуре муниципального образования, принимая во внимание данные о наполняемости существующих общеобразовательных организаций.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Предельное значение расчетного показателя минимально допустимой площади территори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для размещения объекта для крупнейших городов в условиях стесненной городской застройки применяется при размещении объекта в сложившейся застройке, в случае реконструкции территории жилых микрорайонов (кварталов), в том числе на исторических территориях.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Показатель минимально допустимой площади территории для размещения объекта для крупнейших городов в условиях стесненной городской застройки устанавливается в це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лях реализации государственной программы «Создание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обучения», утвержденной постановлением Правительства Нижегородской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области от 29 декабря 2015 г. № 893 (в ред. от 15.08.2025), и действует до установления уполномоченными федеральными органами исполнительной власти особенностей применения требований, установленных национальными стандартами и сводами правил, либо до принят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ия отдельных национальных стандартов и сводов правил для осуществления градостроительной деятельности в условиях стесненной городской застройки, в соответствии со статьей 5.4 Федерального закона от 27 декабря 2002 г. № 184-ФЗ «О техническом регулировании».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 В целях реализации государственной программы «Создание новых мест в общеобразовательных организациях Нижегородской области в соответствии с прогнозируемой потребностью и современными ус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овиями обучения», утвержденной постановлением Правительства Нижегородской области от 29 декабря 2015 г. №893 (в ред. от 15.08.2025), допускается уменьшать размеры земельных участков общеобразовательных организаций до 20%, за исключением крупнейших городов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Borders>
              <w:top w:val="none" w:color="000000" w:sz="4" w:space="0"/>
            </w:tcBorders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Организации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80% охват от общего числа детей в возрасте от 5 до 18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 для отдельно стоящего здания либо в первых этажах жилых зданий, общественных центров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в одну сторону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Норматив обеспеченности следует определять исходя из количества детей, фактически охваченных дополнительным образованием.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Проектная мощность организаций дополнительного образования определяется согласно удельному нормативу 60 мест на 1 тыс. человек общей численности населения, установленному с учетом сменности данных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Профессиональные образовательные организации и их общежития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270 на 10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кв. м/место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вместимости,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70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300 до 900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900 до 1600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учебной зоны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70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зоны студенческих общежитий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6"/>
            <w:tcW w:w="368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8"/>
            <w:tcW w:w="80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2"/>
            <w:tcW w:w="1488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Размеры земельных участков могут быть уменьшены: на 50% в условиях реконструкции; на 30% для учебных заведений гуманитарного профиля.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центров, учащихся: от 1500 до 2000 - на 10%; свыше 2000 до 3000 - на 20%; свыше 3000 - на 30%.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Размеры жилой зоны, учебных и вспомогательных хозяйств, полигонов в указанные размеры не входят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Средние специальные и профессионально-технические учебные заведения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всех учебных заведений, кроме учебных заведений гуманитарного профиля и учебных заведений, размещаемых в районах реконструкции, на объект при вместимости, учащихся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учебных заведений гуманитарного профиля, кроме размещаемых в районах реконструкции, на объект при вместимости, учащихся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1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учебных заведений, размещаемых в районах реконструкции, на объект при вместимости, учащихся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0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1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400 до 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600 до 1000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0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1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2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Организации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кв. м/место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встроенные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отдельно стоящие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размещаются на 1-х этажах жилых, общественных зданий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5"/>
            <w:tcW w:w="297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кв. м/место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51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Организации дополнительного профессионального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51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Специальные учебно-воспитательные учреждения для обучающихся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девиантным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(общественно опасным) поведением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51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Образовательные организации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рекомендуется размещать образовательные организации для детей-сирот и детей, оставшихся без попечения родителей, в составе детских домов-интернатов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51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Научные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51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7"/>
            <w:tcW w:w="552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3" w:right="397" w:bottom="566" w:left="397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 Расчетные показатели минимально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максимально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объектов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социального назначения регионального 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873"/>
        <w:gridCol w:w="2098"/>
        <w:gridCol w:w="2098"/>
        <w:gridCol w:w="2160"/>
        <w:gridCol w:w="2554"/>
        <w:gridCol w:w="2041"/>
        <w:gridCol w:w="2916"/>
      </w:tblGrid>
      <w:tr>
        <w:tblPrEx/>
        <w:trPr/>
        <w:tc>
          <w:tcPr>
            <w:tcW w:w="87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Вид расчетного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показателя, ед.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Предельные значения расчетных показателей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Помещения для культурно-досуговой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площади пола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на 1 тыс.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многоэтажная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жилая застройка - 500;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индивидуальная и малоэтажная жилая застройка - 800;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пункты: в пределах населенного пункта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Кинотеатры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обеспеченности количеством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1 - на муниципальный район;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на городской округ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муниципальный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пределах транспортной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Borders>
              <w:bottom w:val="none" w:color="000000" w:sz="4" w:space="0"/>
            </w:tcBorders>
            <w:tcW w:w="147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Целесооб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разно размещать на территории муниципального образования универсальный объект культурно-досугового назначения, который при необходимости может исполнять функции различных видов объектов (кинотеатр, выставочный зал, учреждение культуры клубного типа и др.).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Необходимое количество зрительских мест для кинотеатров устанавливается из расчета 2 места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Предприятия торговли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(магазины,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торговые центры, торговые комплексы)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кв. м площади торговых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соответствии с утвержденными нормативами минимальной обеспеченности населения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Нижегородской области площадью торговых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торговые центры местного значения с обслуживаемым населением, тыс.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4 до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0,4 - 0,6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6 до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0,6 - 0,8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10 до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0,8 - 1,1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15 до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1,1 - 1,3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торговые центры населенных пунктов с числом жителей, тыс.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земельного участка, 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0,1 - 0,2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1 до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0,2 - 0,4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3 до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0,4 - 0,6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5 до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0,6 - 1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7 до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1 - 1,2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bottom w:val="non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многоэтажная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жилая застройка - 500;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индивидуальная и малоэтажная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жилая застройка - 800;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- 2000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Примечание: для сезонного населен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ия садоводческих, огороднических объединений,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80 кв. м площади торговых объектов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Предприятия общественного питания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мест на 1 тыс. человек, в том числе 32 места на 1 тыс. человек - для общественного делового центра, 8 мест на 1 тыс. человек - для квартала (микрорайона, жилого района);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- 23 места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га/100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мощность,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участка, га/100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0,2 - 0,25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 50 до 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0,15 - 0,2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многоэтажная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жилая застройка - 500;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индивидуальная и малоэтажная жилая застройка - 800;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- 2000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Предприятия бытового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рабочих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рабочих мест на 1 тыс. человек,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том числе 7 рабочих мест на 1 тыс. человек - для общественного делового центра, 2 рабочих места на 1 тыс. человек - для квартала (микрорайона, жилого района);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 рабочих мест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га/10 рабочих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мощность, рабочих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га/10 рабочих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10 - 50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0,1 - 0,2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50 - 150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0,05 - 0,08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свыше 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0,03 - 0,04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многоэтажная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среднеэтажная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жилая застройка - 500;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индивидуальная и малоэтажная жилая застройка - 800;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- 2000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Предприятия бытового обслуживания допускается размещать во встроенно-пристроенных помещениях.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Для сезонного насе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ления садоводческих, огороднических объединений, дачных хозяйств и жилого фонда с временным проживанием в сельских населенных пунктах уровень обеспеченности предприятиями бытового обслуживания устанавливается из расчета 1,6 рабочего места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Прачечные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кг белья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 110 на 1 тыс. человек;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пункты: 60 на 1 тыс. человек, в том числе 20 - прачечные самообслуживания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Химчистки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кг вещей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11,4 на 1 тыс. человек, в том числе 7,4 - для общественного делового центра, 4 - для квартала (микрорайона, жилого района);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 на 1 тыс. человек, в том числе 1,2 - химчистки самообслуживания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Примечание: химчистки рекомендуется размещать в производственно-коммунальной зоне, в жилой и общественной зонах рекомендуется организовывать пункты сбора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 - 5 на 1 тыс. человек;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сельские населенные пункты - 7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7"/>
            <w:tcW w:w="1474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4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кредитно-финансового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Отделения банков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допустимого уровня мощности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операционная касса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населенные пункты: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операционная касса на 10 - 30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минимально допустимой площади территории для размещения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земельного участка, га/объект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2 операционных кассах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7 операционных кассах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1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W w:w="425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95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пределах транспортной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2.9. Расчетные показатели минимально допустимого уровня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расчетные показатели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максимально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 объектов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спортивного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физкультурно-оздоровительного назначения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tabs>
          <w:tab w:val="left" w:pos="1389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3294"/>
        <w:gridCol w:w="2551"/>
        <w:gridCol w:w="3118"/>
        <w:gridCol w:w="4961"/>
      </w:tblGrid>
      <w:tr>
        <w:tblPrEx/>
        <w:trPr/>
        <w:tc>
          <w:tcPr>
            <w:tcW w:w="816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расчетного показателя,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ед.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Предельные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расчетных показателей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Стадионы всех видов с трибунами на 1500 мест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крупного городского поселения (город более 100 тыс. чел.)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30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малых и средних городов,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том числе поселков городского типа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(от 5 тыс. до 100 тыс. чел.),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60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сельских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1 час 30 мин.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Плоскостные спортивные сооружения, включая хоккейные коробки, баскетбольные, волейбольные, универсальные площадки, поля для мини-футбола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110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Шаговая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1000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Спортивные 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59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крупного городского поселения (город более 100 тыс. чел.)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30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малых и средних городов,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том числе поселков городского типа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(от 5 тыс. до 100 тыс. чел.);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сельских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30 мин.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Крытые плавательные бассейны, а также плавательные дорожки в физкультурно-оздоровительных комплексах и спортивных комплексах, доступных для массового посещения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крупного городского поселения (город более 100 тыс. чел.)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30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малых и средних городов, в том числе поселков городского типа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(от 5 тыс. до 100 тыс. чел.),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60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сельских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Другие объекты, включая крытые спортивные объекты с искусственным льдом для занятий массовым катанием, хоккеем,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фигурным катанием, конькобежным спортом, манежи, включая легкоатлетический манеж, конный манеж, футбольный манеж, лыжные базы, включая лыжные трассы, лыжероллеры трассы, биатлонные комплексы, сооружения для стрелковых видов спорта и т.д.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46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крытых спортивных объектов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искусственным льдом: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крупного городского поселения (город более 100 тыс. чел.)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30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малых и средних городов,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том числе поселков городского типа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(от 5 тыс. до 100 тыс. чел.),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60 мин.;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сельских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более 1 час 30 мин.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манежей, лыжных трасс,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биатлонных комплексов,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спортивных баз,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центров спортивной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нормативы транспортной доступности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устанавливаются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94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ы городской и рекреационной инфраструктуры, приспособленные для занятий физической культурой и спортом, в том числе универсальные спортивные и игровые площадки, дистанции, велодорожки, споты (плаза начального уровня), площадки с тренажерами, сезонные катки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227 на 100 тыс. жителей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329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допустимого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Шаговая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доступность,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крупного городского поселения (город более 100 тыс. чел.)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до 1000 м;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малых и средних городов,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том числе поселков городского типа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(от 5 тыс. до 100 тыс. чел.),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нормируется;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для сельских населенных пунктов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474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Примечание: при определении нормативной потребности в объектах физической культуры и спорта необходимо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учитывать усредненный норматив единой пропускной способности 122 человека на 1 тыс.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5845"/>
        <w:gridCol w:w="2126"/>
        <w:gridCol w:w="1843"/>
        <w:gridCol w:w="2290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2" w:type="dxa"/>
            <w:vMerge w:val="restart"/>
            <w:textDirection w:val="lrTb"/>
            <w:noWrap w:val="false"/>
          </w:tcPr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2.10. Расчетные показатели минимально допустимого уровня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обеспеченности и предельные значения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расчетных показателей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 допустимого уровня территориальной доступности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3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области автомобильных дорог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2" w:type="dxa"/>
            <w:vMerge w:val="restart"/>
            <w:textDirection w:val="lrTb"/>
            <w:noWrap w:val="false"/>
          </w:tcPr>
          <w:p>
            <w:pPr>
              <w:pStyle w:val="988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Таблица 2.10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584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расчетного показателя объекта, 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625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Предельные значения расчетных показателей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Автомобильные дороги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1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Категории и параметры автомобильных дорог местного значения - объектов улично-дорожной сети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4"/>
            <w:tcW w:w="121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Классификация улиц и дорог городских населенных пунктов исходя из функционального назначения, скоростей движения и состава потока, а также расшифровка приведенных ниже сокращений приведены в </w:t>
            </w:r>
            <w:hyperlink w:tooltip="Таблица 1. Классификация улиц и дорог городов." w:anchor="P2715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таблице 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приложения к настоящим Нормативам, классификация улиц и дорог сельских населенных пунктов - в </w:t>
            </w:r>
            <w:hyperlink w:tooltip="Таблица 2. Классификация сельских улиц и дорог сельских" w:anchor="P274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таблице 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приложения к настоящим Нормативам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Расчетная скорость движения, км/ч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городских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</w:t>
            </w:r>
            <w:hyperlink w:tooltip="&lt;*&gt; В условиях реконструкции, а также для улиц районного значения допускается устройство магистралей или их участков, предназначенных только для пропуска средств общественного транспорта с организацией автобусно-пешеходного движения" w:anchor="P1539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 обособленные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 изолированные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УГл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В условиях реконструкции, а также для улиц районного значения допускается устройство магистралей или их участков, предназначенных только для пропуска средств общественного транспорта с организацией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автобусно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-пешеходного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полосы движения,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городских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2,75 </w:t>
            </w:r>
            <w:hyperlink w:tooltip="Ширина полосы движения, м" w:anchor="P154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УГл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2,75 - 3 </w:t>
            </w:r>
            <w:hyperlink w:tooltip="Ширина полосы движения, м" w:anchor="P154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магистральных дорогах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преимущественным движением грузовых автомобилей следует увеличивать ширину полосы движения до 4 м. 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Ширину полосы для движения наземного пассажирского транспорта общего пользования на улично-дорожной сети в больших, крупных и крупнейших городах следует принимать 3,75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На однополосных проездах следует предусматривать разъездные площадки шириной не менее 6 метров и длиной не менее 15 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тров на расстоянии не более 75 метров между ними, на территории малоэтажной жилой застройки расстояние между разъездными площадками следует принимать не более 200 метров; в пределах фасадов зданий, имеющих входы, проезды следует принимать шириной 5,5 метра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Число полос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городских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расчету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расчету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 обособленные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1 - 2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 изолированные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УГл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Наименьший радиус кривых в плане,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Наибольший продольный уклон, %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улиц и дорог в красных линиях,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ДСД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50 - 75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50 - 75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 </w:t>
            </w:r>
            <w:hyperlink w:tooltip="&lt;*&gt; Ширина улиц и дорог определяется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" w:anchor="P171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 </w:t>
            </w:r>
            <w:hyperlink w:tooltip="&lt;*&gt; Ширина улиц и дорог определяется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" w:anchor="P171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 </w:t>
            </w:r>
            <w:hyperlink w:tooltip="&lt;*&gt; Ширина улиц и дорог определяется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" w:anchor="P171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15 - 25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Ширина улиц и дорог определяется в зависимости от интенсивности движения транспорта и пешех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 и др.), с учетом санитарно-гигиенических требований и требований гражданской обороны.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Допускается предусматривать поэтапное достижение расчетных параметров магистральных улиц и дорог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пешеходного тротуара,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городских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УРД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УТП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основные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второстепенные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Для сельских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УГл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1,5 - 2,25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1,2 - 1,5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краевых полос между проезжей частью и бортовым камнем (окаймляющими плитами или лотками) на магистральных улицах и дорогах,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дороги скоростного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непрерывного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общегородского и районного значения регулируемого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0,75 м и 0,5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Радиус закругления проезжей части улиц и дорог,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улиц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Радиус закругления проезжей части,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новом строительстве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условиях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реконструкции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и дороги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улицы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проезды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боковых проездов,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(предусматриваются на магистральных улицах непрерывного и дорогах скоростного движения, а при необходимости и на магистральных улицах общегородского значения с регулируемым движением)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движении транспорта и без устройства специальных полос для стоянки автомобилей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движении транспорта и организации по местному проезду движения общественного пассажирского транспорта в одном направлении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движении транспорта и организации по местному проезду движения общественного пассажирского транспорта в двух направлениях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до примыканий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-транспортных улиц, улиц и дорог местного значения, проездов к другим магистральным улицам и дорогам регулируемого движения,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50 от конца кривой радиуса закругления на ближайшем пересечении и не менее 150 друг от друга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от края основной проезжей части улиц, местных или боковых проездов до линии застройки,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более 25,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крайней полосы для движения автобусов на магистральных улицах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дорогах в больших и крупных городах,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Максимальное расстояние между пешеходными переходами,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магистральных дорогах регулируемого движения в пределах застроенной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300 м в одном уровне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магистральных дорогах скоростного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800 м в двух уровнях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магистральных дорогах непрерывного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400 м в двух уровнях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1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Категории и параметры автомобильных дорог общей сети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Расчетная скорость движения, км/ч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Число полос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4; 6; 8 </w:t>
            </w:r>
            <w:hyperlink w:tooltip="&lt;*&gt; Количество полос движения на дорогах I категории устанавливают в зависимости от интенсивности движения: свыше 14000 до 40000 ед./сут. - 4 полосы; свыше 40000 до 80000 ед./сут. - 6 полос; свыше 80000 ед./сут. - 8 полос" w:anchor="P183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4; 6; 8 </w:t>
            </w:r>
            <w:hyperlink w:tooltip="&lt;*&gt; Количество полос движения на дорогах I категории устанавливают в зависимости от интенсивности движения: свыше 14000 до 40000 ед./сут. - 4 полосы; свыше 40000 до 80000 ед./сут. - 6 полос; свыше 80000 ед./сут. - 8 полос" w:anchor="P183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4; 6; 8 </w:t>
            </w:r>
            <w:hyperlink w:tooltip="&lt;*&gt; Количество полос движения на дорогах I категории устанавливают в зависимости от интенсивности движения: свыше 14000 до 40000 ед./сут. - 4 полосы; свыше 40000 до 80000 ед./сут. - 6 полос; свыше 80000 ед./сут. - 8 полос" w:anchor="P183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2;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Количество полос движения на дорогах I категории устанавливают в зависимости от интенсивности движения: свыше 14000 до 40000 ед./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- 4 полосы; свыше 40000 до 80000 ед./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- 6 полос; свыше 80000 ед./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- 8 полос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полосы движения,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3,75/3,5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3,75/3,5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3,25 - 3,5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3,0 - 3,25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3,5 - 4,5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центральной разделительной полосы </w:t>
            </w:r>
            <w:hyperlink w:tooltip="&lt;*&gt; Ширину разделительной полосы на участках дорог, где в перспективе может потребоваться увеличение числа полос движения, увеличивают на 7,5 м и принимают равной: не менее 13,5 м - для дорог категории IA, не менее 12,5 м - для дорог категории IБ. Разделительн" w:anchor="P186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Ширину разделительной полосы на участках дорог, где в перспективе может потребоваться увеличение числа полос движения, увеличивают на 7,5 м и принимают равной: не менее 13,5 м - для дорог категории IA, не менее 12,5 м - для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рог категории IБ. Разделительные полосы предусматривают с разрывами через 2 - 5 км для организации пропуска движения автотранспортных средств и для проезда специальных машин в периоды ремонта дорог. Величину разрыва устанавливают расчетом с учетом состава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транспортного потока и радиуса поворота автомобиля или, если не производится расчет, величиной 30 м. В периоды, когда они не используются, их следует закрывать специальными съемными ограждающими устройствами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обочины,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3,25 - 3,75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2,5 - 3,0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2,0 - 2,5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1,5 - 2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1,0 - 1,75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Наименьший радиус кривых в плане,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III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IV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Минимальные радиусы кривых в плане для размещения остановок на автомобильных дорогах категории,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дорогах I - II категорий - 1000, на дорогах III категории - 600, на дорогах IV - V категорий - 400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Минимальная длина остановочной площадки,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Минимально допустимые радиусы кривых в плане для размещения остановок,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автомобильных дорогах I - II категорий - 1000, на автомобильных дорогах III категории - 600, на автомобильных дорогах IV - V категорий - 400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W w:w="12104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Общественный пассажирский транспорт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Максимальное расстояние между остановочными пунктами на линиях общественного пассажирского транспорта,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пределах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зоне индивидуальной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Размещение остановочных площадок автобусов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 перекрестками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25 м за перекрестками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перед перекрестками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40 м до перекрестков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 наземными пешеходными переходами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5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Длина остановочной площадки,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 м на один автобус, но не более 60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остановочной площадки в заездном кармане,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Равна ширине основных полос проезжей части.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 размещении остановочных пунктов в «карманах» необходимо устраивать переходно-скоростные полосы для замедления и ускорения движения общей длиной, включая остановочную площадку, - 70 - 90 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Полосы замедления и ускорения необходимо отделять от основных полос движения разделительной полосой,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ширину которой следует принимать не менее 0,75 м, или разметкой.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«Карманы» (уширения проезжей части) следует предусматривать, как правило, за счет уменьшения ширины разделительных (озелененных) полос между проезжей частью и тротуаром. Глубину кармана следует принимать для остановки автобуса - 3 м, троллейбуса - 2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отстойно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-разворотной площадки,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845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Расстояние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отстойно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-разворотной площадки до жилой застройки,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625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не менее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845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Площадь земельных участков для размещения автобусных парков (гаражей) в зависимости от вместимости сооружений, 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 машин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200 машин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300 машин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5845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500 машин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2.10.1. На территориях жилых, общественно-деловых, производственных и рекреационных зон следует обеспечивать возможность велосипедного движения, а также движения лиц, использующих для передвижения средства индивидуальной мобильности.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2.10.2. При формировании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велоинфраструктуры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маршруты движения,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включая их пересечения, велосипедистов и лиц, использующих для движения средства индивидуальной мобильности, должны соответствовать требованиям, предъявляемым к системе улиц и дорог на территории населенного пункта, по которым проложены указанные маршруты.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являющиеся частью поперечного профиля улицы или дороги, следует располагать между проезжей частью улицы или дороги и пешеходными путями.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зонах массового отдыха населения и на других озелененных территориях следует предусматривать велодорожки, изолированные от улиц, дорог и пешеходного движения.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Следует разделять пешеходное и велосипедное движение, в том числе движение средств индивидуальной мобильности.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следует располагать таким образом, чтобы обеспечить минимальное количество пересечений пешеходных и велосипедных потоков.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2.10.4. По организации движения выделяют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одностороннего и двухстороннего движения. На проезжей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допускается устраивать только одностороннего движения. При устройстве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составе улицы следует предусматривать велосипедные дорожки или велосипедные полосы для движения в обоих направлениях.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2.10.5. Расчетную скорость для движения велосипедистов и лиц, использующих для передвижения средства индивидуальной мобильности, следует принимать 30 км/ч. На подъездах к пересечениям или подземным проходам расчетная скорость может быть снижена до 10 км/ч.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Количество полос движения назначается в зависимости от прогнозируемой интенсивности велосипедного движения из расчета 1500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вел./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 на одну велосипедную полосу при одностороннем движении, 1000 вел./ч на одну велосипедную полосу при двухстороннем движении.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Ширину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следует принимать по расчету необходимого количества полос движения. Ширину одной полосы следует принимать по таблице 2.10.1.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2.10.1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Ширина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9213"/>
        <w:gridCol w:w="2835"/>
        <w:gridCol w:w="2835"/>
      </w:tblGrid>
      <w:tr>
        <w:tblPrEx/>
        <w:trPr/>
        <w:tc>
          <w:tcPr>
            <w:tcW w:w="9213" w:type="dxa"/>
            <w:vMerge w:val="restart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велокоммуникации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6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Ширина полосы, м, при движении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213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одностороннем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двухстороннем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213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Полоса, выделенная в пределах полосы движения автомобилей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213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Полоса, совмещенная с проезжей частью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 &lt;*&gt;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213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Полоса, отделенная от проезжей части парковкой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213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Велосипедная дорожка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1488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знаком &lt;*&gt; отмечено значение ширины полосы, которое допускается уменьшать до 1,2 при попутном движении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Минимальный допустимый радиус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следует принимать по таблице 2.10.2.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2.10.2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9921"/>
      </w:tblGrid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Расчетная скорость, км/ч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Минимальный радиус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кривых в плане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92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Продольный уклон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должен соответствовать продольному уклону проезжей части. При продольных уклонах более 50% следует увеличивать ширину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1,5 раза. Продольные уклоны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велокоммуникаций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следует назначать не более 70%.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2.10.6. Размещение велостоянок и стоянок средств индивидуальной мобильности следует предусматривать у объектов массового посещения, станций скоростного внеуличного транспорта (жел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езнодорожный транспорт, метрополитен, скоростной трамвай), на транспортно-пересадочных узлах и тротуарах (при условии обеспечения пропускной способности). Велостоянки и стоянки средств индивидуальной мобильности допускается располагать рядом друг с другом.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Парковочные устройства, велосипеды и средства индивидуальной мобильности не должны создавать препятствий для движения пешеходов.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2.10.7.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многофункциональных объектов расчет следует проводить раздельно в зависимости от параметров каждой функциональной части объекта, а затем суммировать для всего объекта.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2.10.8. Рекомендуемые значения количества парковочных мест для велосипедов указаны в таблице 2.10.3 настоящих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2.10.3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30"/>
        <w:gridCol w:w="8583"/>
        <w:gridCol w:w="5669"/>
      </w:tblGrid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Тип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Число парковочных мест для велосипедов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административно-делового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Коммерческо-деловые центры, офисные здания и помещения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 на 100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Банки и банковские утверждения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 на 100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науки и учебно-образовательного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Высшие учебные заведения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60 на 100 студентов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Школы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50 на 100 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торгово-бытового и коммунального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объекты торгового назначения с широким ассортиментом товаров продовольственной и непродовольственной групп (отдельно стоящие супермаркеты)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5 - 7 на 100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Торговые центры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6 - 8 на 100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культуры и досуга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Театры, концертные 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20 - 25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Кинотеатры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Развлекательные центры, дискотеки, ночные клубы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Аттракционы/тематические парки развлечений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10 - 15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Места отдыха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20 - 35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Лечебные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Поликлиники, в том числе амбулатории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Больницы, профилактории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30 на 100 койко-мест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клиники, реабилитационные центры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20 на 100 койко-мест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Интернаты и пансионаты для престарелых 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10 на 100 койко-мест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425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Спортивно-оздоровительные объекты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Спортивные комплексы и стадионы с трибунами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20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20 на поле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Оздоровительные комплексы (фитнес-клубы,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ФОКи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спортивные и тренажерные залы)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35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3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858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Аквапарки, бассейны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 20 - 25 на 100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Минимальное количество парковочных мест для средств индивидуальной мобильности следует определять по расчету согласно Приложен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ию Т к «СП 396.1325800.2018. Свод правил. Улицы и дороги населенных пунктов. Правила градостроительного проектирования», утвержденному приказом Министерства строительства и жилищно-коммунального хозяйства Российской Федерации от 1 августа 2018 г. № 474/пр.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2.10.9. Уличные велосипедные стоянки рекомендуется размещать на расстоянии не более 30 м от входа в учреждения, в хорошо освещенных местах с высокой интенсивностью пешеходного движения, в зоне обзора существующих камер видеонаблюдения.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2.10.10. При проектировании нового жилого дома рекомендуется предусматривать наличие мест постоя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нного хранения в количестве не менее 0,8 места на каждую квартиру. В существующих жилых зданиях количество мест определяется текущим спросом. Рекомендуется размещение велосипедов на место постоянного хранения в подвальных помещениях, специально отведенных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помещениях в подъездах домов, велосипедных гаражах.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2.10.11. Территория жилого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комплекса должна быть обеспечена двумя или более въездами (выездами) на территорию с различных улиц. В условиях примыкания жилого комплекса к одной улице территория жилого комплекса должна быть обеспечена двумя или более въездами (выездами) с данной улицы.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2.10.12. Проезды и подъезды для пожарной техники следует предусматривать в соответствии с требованиями Федерального закона от 22 июля 2008 г. № 123-ФЗ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Технический регламент о требованиях пожарной безопасности» и иными нормативными документами по пожарной безопасности, а также положениями СП 4.13130 «СП 4.13130.2013. Свод правил. Системы противопожарной защиты. Ограничение распространения пожара на объек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тах защиты. Требования к объемно-планировочным и конструктивным решениям»,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 от 24 апреля 2013 г. № 288.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0" w:right="850" w:bottom="850" w:left="1134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 Расчетные показатели минимально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обеспеченности и предельные значения расчетных показателей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максимально допустимого уровня территориальной доступности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расчете и размещении парковочных мест, минимально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допустимое количество парковочных мест для парковки легковых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автомобилей на стоянках автомобилей, размещаемых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непосредственной близости от отдельно стоящих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в границах жилых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общественно-деловых 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2.11.1. При строительстве и реконструкции объектов капитального строительства предусматриваются парковочные места, которые определяются расчетом в соответствии с настоящими Нормативами.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Парковочные места размещаются в пределах земельного участка, предо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ставленного в установленном порядке под строительство (реконструкцию) объекта капитального строительства и планируемого в дальнейшем к передаче правообладателям такого объекта для его эксплуатации, с учетом особенностей, предусмотренных настоящим разделом.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Парковочные места надлежит размещать таким образом, чтобы исключить возможнос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ть создания препятствий и помех подъезду специальных и специализированных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 к объектам капитального строительства.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строительстве и реконструкции объектов капитального строительства в целях размещения парковочных мест в границах жилых и общественно-деловых зон следует максимально использовать подземное пространство.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новом строительстве, а также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реконструкции объектов капитального строительства допускается использовать для размещения парковочных мест постоянного и временного хранения легкового автотранспорта объекты улично-дорожной сети, при условии если такое размещение осуществляется в специал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ьно оборудованных местах (парковочных карманах) и не приводит к снижению интенсивности и скорости движения, в том числе общественного транспорта, возникновению сложностей с обслуживанием улично-дорожной сети и инженерных коммуникаций. Размещение парковочны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мест на объектах улично-дорожной сети допускается по согласованию с министерством транспорта и автомобильных дорог Нижегородской области и структурным подразделением органа местного самоуправления, реализующего полномочия в области дорожной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потоков. В составе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асчетов определяется изменение уровня обслуживания движения и иных параметров с учетом влияния проектируемого объекта на обслуживающую его улично-дорожную сеть, а также прилегающую улично-дорожную сеть в границах распространения его перспективного влияния.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территории крупнейших, больших и средних городов следует разрабатывать схемы размещения сооружений для хранения легковых автомобилей.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основе разработанных схем в проектах планировки, застройки и реконс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трукции жилых территорий сооружения для хранения и парковки легковых автомобилей размещаются с учетом функционально-планировочного решения территории и особенностей застройки (существующей и проектируемой) жилого района, микрорайона, жилой группы, участка.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стоянок автомобилей осуществляется при условии соблюдения действующих государственных санитарно-эпидемиологических правил и нормативов. Парковочные места грузовых автомобилей и автобусов (транспортных сред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 с разрешенной максимальной массой более 3,5 тонны и транспортных средств, предназначенных для перевозки пассажиров и имеющих более 8 сидячих мест, не считая места водителя) размещаются в производственных зонах и на территориях промышленных предприятий.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Гаражи ведомственных автомобилей и легковых автомобилей специального назначения, грузовых автомобилей, такси необходимо размещать в производственных и коммунально-складских зонах.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Проектирование зданий и сооружений для размеще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стоянок автомобилей необходимо осуществлять в соответствии с СП 113.13330.2023 «СНиП 21-02-99*. Стоянки автомобилей», утвержденным приказом Министерства строительства и жилищно-коммунального хозяйства Российской Федерации от 5 октября 2023 г. № 718/пр.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районах с неблагоприятной гидрогеологической обстановкой, ограничивающей или исключающей возможность устройства подземных стоянок автомобилей, обеспечение парковочными местам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следует предусматривать посредством строительства наземных и наземно-подземных сооружений с последующей обсыпкой грунтом и использованием земляной кровли для обустройства спортивных площадок, хозяйственных площадок, площадок для выгула домашних животных.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2.11.2. В составе проекта планировки территории в рамках определения очередности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этапности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строительства (реконструкции) объектов капитального строительства для каждой очереди (каждого этапа) строительства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(реконструкции) должно быть сформировано 100% обеспеченности местами для постоянного хранения личных легковых автомобилей граждан и местами временного хранения автомобилей, расчетное количество которых определяется в соответствии с настоящими Нормативами.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размещении парковочных мест, расчет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ное количество которых определяется в соответствии с настоящими Нормативами, следует предусматривать места для хранения электромобилей и гибридных автомобилей, в том числе оборудованных зарядными устройствами, в количестве не менее 5% от общего числа мест.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2.11.3. Особенности расчета и размещения парковочных мест при строительстве и реконструкции жилой застройки.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территории жилых зон (жилых кварталов) допускается размещение стоянок автомобилей вместимостью не более 500 парковочных мест, за исключением: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подземных стоянок, вместимость которых не ограничивается;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плоскостных стоянок открытого типа (открытых площадок), вместимость которых не может превышать 300 парковочных мест.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Расчетный показатель обеспеченности парковочными местами для пост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оянного хранения легковых автомобилей жителей для жилой многоквартирной застройки (жилых кварталов, жилых комплексов, групп жилых домов, отдельно стоящих жилых зданий) составляет 1 парковочное место на 85 кв. м общей площади квартир в многоквартирном доме.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строительстве и реконструкции многоквартирных домов допускается следующая вариативность размещения мест постоянного хранения легковых автотранспортных средств жителей (далее - парковочные места постоянного хранения):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50% парковочных мест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стоянного хранения размещается непосредственно в границах земельных участков многоквартирных домов и 50% - в пределах пешеходной доступности, принятой по существующим общедоступным пешеходным связям и не превышающей 800 м, при соблюдении следующих условий: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строительство застройщиком стоянки автомобилей в виде здания или сооружения,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размещение стоянки автомобилей должно быть предусмотрено в составе документации по планировке территории. При этом документацией по план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ировке территории должна быть предусмотрена одновременная реализация очередей строительства стоянки автомобилей и строительства (реконструкции) многоквартирных домов, для жителей которых обеспечивается потребность в парковочных местах постоянного хранения;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пешеходные пути от многоквартирного дома до стоянок не должны пересекать железнодорожные пути;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50% парковочных мест постоянного хранения размещается с использованием подземного пространства в границах земельных участков многоквартирных домов и 50% - в пределах пешеходной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доступности, принятой по существующим общедоступным пешеходным связям и не превышающей 800 м, на земельном участке, принадлежащем застройщику, с разрешенным использованием для целей хранения автотранспорта при условии реализации концепции «Двор без машин»;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100% парковочных мест постоянного хранения размещается в границах жилого квартала, в котором расположены земельные участки многоквартирных домов, при соблюдении следующих условий: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строительство застройщиком стоянки автомобилей в виде здания или сооружения, которая обеспечивает полную потребность в парковочных местах постоянного хранения жителей таких многоквартирных домов;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размещение стоянки автомобилей должно быть предусмотрено в составе доку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ментации по планировке территории. При этом реализация такого здания или сооружения должна быть выполнена одновременно со строительством (реконструкцией) жилых домов, для жителей которых обеспечивается потребность в парковочных местах постоянного хранения.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этом не менее 5%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стоянках открытого типа (открытых площадках) в границах земельного участка, предоставленного в установленном порядке под строительство (реконструкцию) объекта капитального строительства и планируемого в дальнейшем к передаче правообладателям такого объек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 для его эксплуатации, за исключением случая, когда более 75% парковочных мест постоянного хранения размещается с использованием подземного пространства. При этом из них 10% (но не менее одного места) должно быть выделено для специализированных мест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автотранспорта инвалидов на кресле-коляске.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объектов должно осуществляться в строгом соответствии с очередностью, установленной в документации по планировке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строительстве и реконструкции многоквартирных домов допускается размещение мест постоянного хранения автомобилей на муниципальных стоянках, созданных органом местного самоуправления, распо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ложенных в пешеходной доступности (без пересечения железнодорожных путей), принятой по существующим общедоступным пешеходным связям и не превышающей 800 м, при условии получения застройщиком согласования такого размещения от органа местного самоуправления.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посетителей встроенных, пристроенных и встроенно-пристроенных помещений многоквартирных жилых домов предусматриваются места временного хранения транспортных средств, количество которых определяется в соответствии с нормативами, приведенными в </w:t>
      </w:r>
      <w:hyperlink w:tooltip="Таблица 2.11.4" w:anchor="P217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Таблице 2.11.4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настоящих Нормативов, с учетом требований </w:t>
      </w:r>
      <w:hyperlink w:tooltip="2.11.1. При строительстве и реконструкции объектов капитального строительства предусматриваются парковочные места, которые определяются расчетом в соответствии с настоящими Нормативами." w:anchor="P21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пункта 2.11.1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настоящих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Двойное использование парковочных мест в дневное время для сотрудников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посетителей встроенных, пристроенных и встроенно-пристроенных помещений многоквартирных домов, в ночное время для жителей домов (парковочные места постоянного хранения) допускается исключительно на плоскостных стоянках открытого типа (открытых площадках).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многоквартирных домов, являющихся проблемными объектами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территории Нижегородской области, при отсутствии возможности обеспечения парковочными местами в полном объеме, с учетом сложившейся застройки и существующего землепользования, количество парковочных мест должно быть обеспечено в размере не менее 15% от 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ебуемого количества парковочных мест, предусмотренных настоящими Нормативами для жилой многоквартирной застройки, и согласовано протокольным решением регионального штаба по вопросам реализации градостроительной политики на территории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2.11.3.1. В случае застройки индивидуальными и блокированными жилыми домами парковочные места хранения и парковки 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гкового автотранспорта жителей размещаются в границах придомового земельного участка из расчета: для индивидуальной жилой застройки - не менее одного парковочного места на дом, для блокированной жилой застройки - не менее одного парковочного места на блок.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2.11.3.2.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территории городского округа город Нижний Новгород запрещается новое строительство зданий для хранения автомобилей (гаражей) боксового типа.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 гаражом боксового типа принимается здание или сооружение, предназначенное для хранения автомобиля в отдельном помещении (боксе), выезд из которого осуществляется непосредственно наружу или на внутренний проезд.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2.11.4. Особенности расчета и размещения парковочных мест при строительстве и реконструкции нежилой застройки.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нового строительства и реконструкции объектов нежилого назначения, а также при изменении функц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ионального назначения объектов требуемое количество парковочных мест временного хранения (для работающих и посетителей) определяется расчетом в соответствии с нормативами, приведенными в таблице 2.11.4 настоящих Нормативов, размещается с учетом требований </w:t>
      </w:r>
      <w:hyperlink w:tooltip="2.11.1. При строительстве и реконструкции объектов капитального строительства предусматриваются парковочные места, которые определяются расчетом в соответствии с настоящими Нормативами." w:anchor="P21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пункта 2.11.1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настоящих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2.11.4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4790"/>
        <w:gridCol w:w="1588"/>
        <w:gridCol w:w="2693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посещения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Расчетные единицы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Предусматривается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парковочное место на следующее количество расчетных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административно-делового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капитального строительства, предназначенные для размещения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органов государственной власти,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органов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200 - 220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административно-управленческой деятельности, здания и помещения общественных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100 - 120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Коммерческо-деловые центры,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офисные здания и помещения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50 - 60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Банки и банковские учреждения: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1.4.1.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с операционными залами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1.4.2.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без операционных залов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55 - 60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Общественные помещения с гибким функциональным назначением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50 - 60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науки и учебно-образовательного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Научно-исследовательские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проектные институты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140 - 170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высшего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преподаватели, сотрудники, студенты, занятые в одну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препод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сотруд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+ 1 парковочное место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10 студентов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Профессиональные образовательные организации, колледжи, специальные и частные школы, школы искусств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музыкальные школы городского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преподаватели, занятые в одну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2 - 3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Центры обучения, самодеятельного творчества, клубы по интересам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20 - 25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Общеобразовательные организации (школы, гимназии, лицеи и др.) &lt;*&gt;.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Стоянка автомобилей для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персонала (преподавателей)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проектируется за границами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Дошкольные образовательные организации.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&lt;*&gt; Стоянка автомобилей для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персонала проектируется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283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границами участка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промышленно-производственного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Производственные здания и коммунально-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складские объекты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работающие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двух смежных сменах, чел.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торгово-бытового и коммунального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60 - 70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Магазины шаговой доступности продовольственной и непродовольственной групп, размещающиеся в первых этажах жилых домов или в жилой группе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объекты торгового назначения с широким ассортиментом товаров продовольственной и непродовольственной групп (отдельно стоящие сетевые супермаркеты)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Торговые центры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70 - 80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Магазины-склады (мелкооптовой и розничной торговли, гипермаркеты)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Рынки постоянные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4.6.1.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Универсальные и непродовольственные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4.6.2.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Продовольственные и сельскохозяйственные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Магазины-склады (мелкооптовой и розничной торговли, гипермаркеты)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Рестораны, кафе городского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посадочные места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4 - 5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коммунально-бытового обслуживания: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4.9.1.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5 - 6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4.9.2.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Ателье, фотосалоны городского значения, салоны-парикмахерские, салоны красоты, солярии, салоны моды, свадебные салоны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10 - 15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4.9.3.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Салоны ритуальных услуг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20 - 25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4.9.4.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Химчистки, прачечные, ремонтные мастерские, специализированные центры по обслуживанию сложной бытовой техники и др.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рабочее место приемщика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1 - 2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Гостиницы: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4.10.1.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Высшей категории (4 - 5 «звезд»)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4.10.2.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Другие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5 - 6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Кладбища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3 - 5, но не менее 50 парковочных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4.12.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Крематории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5 - 6, но менее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парковочных мест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 1 ритуальный зал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культуры и досуга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Выставочно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-музейные комплексы, музеи-заповедники, музеи, галереи, выставочные 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Театры, концертные 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зрительское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15 - 20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Киноцентры и кинотеатры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зрительское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15 - 25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Городские библиотеки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пос.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религиозных конфессий (церкви, костелы, мечети, синагоги и др.)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8 - 10, но не менее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парковочных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 на 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Развлекательные центры, дискотеки, ночные клубы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4 - 7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Бильярдные, боулинг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Лечебные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Поликлиники, в том числе амбулатории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посещения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Многопрофильные консультационно-диагностические центры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посещения 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30 - 40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Больницы, профилактории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койко-место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10 - 15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клиники, реабилитационные центры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койко-место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8 - 10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Интернаты и пансионаты для престарелых 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койко-место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20 - 30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спортивного и физкультурно-оздоровительного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Стадионы всех видов с трибунами на 1500 мест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 на трибунах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25 - 30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Плоскостные спортивные сооружения, включая хоккейные коробки, баскетбольные, волейбольные, универсальные площадки, поля для мини-футбола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8 - 10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Спортивные залы: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7.3.1.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Общей площадью менее 1000 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25 - 40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7.3.2.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Общей площадью 1000 кв. м и более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кв. м расчетной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40 - 55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Крытые плавательные бассейны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5 - 7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Другие объекты, включая крытые спортивные объекты с искусственным льдом для занятия массовым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катанием, хоккеем, фигурным катанием, конькобежным спортом, манежи, включая легкоатлетический манеж, конный манеж, футбольный манеж, лыжные базы, включая лыжные трассы, лыжероллеры трассы, биатлонные комплексы, сооружения для стрелковых видов спорта и т.д.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3 - 4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ы городской и рекреационной инфраструктуры, приспособленные для занятий физической культурой и спортом, в том числе универсальные спортивные и игровые площадки, дистанции, велодорожки, споты (плаза начального уровня), площадки с тренажерами, сезонные катки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 посетители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8 - 10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Объекты транспортного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Железнодорожные 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пассажиры дальнего следования в час пик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8 - 10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Автовокзалы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пассажиры в час пик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10 - 15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79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Аэровокзалы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пассажиры в час пик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6 - 8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064" w:type="dxa"/>
            <w:vMerge w:val="restart"/>
            <w:textDirection w:val="lrTb"/>
            <w:noWrap w:val="false"/>
          </w:tcPr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 Нормативные показатели включают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ребуемое количество парковочных мест для работающих и посетителей, без учета парковочных мест для автомобилей, обслуживающих технологические нужды объекта (стоянка автомобиля, связанная с погрузкой, выгрузкой грузов, обеспечивающих функционирование объекта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и др.), парковочных мест для паркования специальных и специализированных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средств), а также для туристических автобусов.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 Общая площадь объекта включает сумму площадей всех этажей здания, сооружения (включая технический, мансардный, цокольный, подвальный и иные), а также эксплуатируемой кровли, определяемую в пределах внутренних поверхностей наружных стен,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 учетом особенностей, предусмотренных СП 118.13330.2022 «Свод правил. Общественные здания и сооружения. СНиП 31-06-2009», утвержденного приказом Министерства строительства и жилищно-коммунального хозяйства Российской Федерации от 19 мая 2022 г. № 389/пр.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помещений, а затем суммируется.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4. Расчет парковочных мест для объектов религиозных конфессий производится для максимального по числу посетителей дня недели, но без учета дней основных (главных) религиозных праздников.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5. Расчет парко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вочных мест для посетителей кладбищ проводится для выходных дней весенне-летнего периода без учета пиковой потребности в дни религиозных праздников, связанных с массовым посещением мест захоронений близких родственников (день поминовения родителей и т.п.).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 При выполнении расчета парковочных мест в соответствии с </w:t>
            </w:r>
            <w:hyperlink w:tooltip="Таблица 2.11.4" w:anchor="P2170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таблицей 2.11.4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настоящих Нормативов для каждого объект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 необходимо предусматривать не менее одного парковочного места для паркования специальных и специализированных транспортных средств (пожарных автомобилей и автомобилей скорой медицинской помощи, иных специальных и специализированных транспортных средств).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объеме, количество которых определяется расчетом в соответствии с </w:t>
            </w:r>
            <w:hyperlink w:tooltip="Таблица 2.11.4" w:anchor="P2170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</w:rPr>
                <w:t xml:space="preserve">таблицей 2.11.4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в пределах земельного участка, предоставленного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установленном порядке под строительство объекта капитального строительства, допускается размещать такие парковочные места вне пределов участка в пешеходной доступности, принятой по существующим общедоступным пешеходным связям и не превышающей 1200 метров.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2.11.4.1.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реконструкции указанных объектов на магистральных улицах с движением общественного транспорта или рядом со станцией метро (на расстоянии не более 300 м):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0,7 - при наличии метро и трех видов наземного транспорта (автобус, трамвай, троллейбус);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0,75 - при наличии метро и одного из видов наземного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0,8 - при наличии метро;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0,85 - при наличии трех видов наземного общественного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0,9 - при наличии двух видов наземного общественного транспорта.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2.11.4.2. При строительстве или реконструкции объектов капитального строи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тельства, предназначенных для размещения дошкольных образовательных организаций и общеобразовательных организаций, необходимо предусматривать парковочные карманы для кратковременной парковки автотранспортных средств (родители детей, посещающих учреждение).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территории вновь строящихся общеобразовательных организаций необходимо предусматривать парковочные места для транспортных средств, предназначенных для перевозки обучающихся (в том числе обучающихся с ограниченными возможностями здоровья).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размещении на территории вновь строящихся общеобразовательных организаций парковочных мест для транспортных средств, предназначенных для перевозки обучающихся, следует предусматривать 40 кв. м территории на один школьный автобус.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условиях реконструкции парковочные места для транспортных средств, предназначенных для перевозки обучающихся, предусматриваются в пределах пятнадцатиминутной транспортной доступности от территории общео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бразовательной организации,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посадки-высадки обучающихся из транспортных средств, предназначенных для их перевозки.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2.11.4.3. Для помещений общественного назначения, встроенных в жилые здания,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машино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статьи 36 Жилищного кодекса Российской Федерации и следующих требований: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исключение двойного использования парковочных мест;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возможность беспрепятственного выезда транспортных средств из зоны стоянки;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оборудование системой видео-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фотофиксации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2.11.5. Особенности расчета парковочных мест в случае реализации мероприятий по комплексному развитию территории в границах городского округа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рамках реализации мероприятий по комплексному развитию территории в границах городского округа город Нижний Новгород расчетный показатель обеспеченности парковочными местами постоянного хранения для жилой многокварт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ирной застройки (жилых кварталов, жилых комплексов, групп многоквартирных домов, отдельно стоящих жилых зданий) принимается в зависимости от местоположения территории, в отношении которой осуществляются мероприятия по комплексному развитию, и определяется: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- 1 парковочное место на 90 кв. м общей площади квартир в многоквартирном доме, расположенном в заречной части города Нижнего Новгорода (Автозаводский,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Сормовский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Ленинский, Московский,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Канавинский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районы города);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- 1 парковочное место на 85 кв. м общей площади квартир в многоквартирном доме, расположенном в нагорной части города (Нижегородский, Советский,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Приокский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районы).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реализации мероприятий по комплексному развитию территории в границах городского округа город Нижний Новгород,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установленному настоящим пунктом расчетному показателю минимально допустимого уровня обеспеченности парковочными местами постоянного хранения для жилой многоквартирной застройки допускается применение понижающего коэффициента: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0,7 - 50% от общего расчетного количества парковочных мест постоянного хранения размещается в подземных стоянках и (или) многоэтажных надземных паркингах, и обеспечено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сположение в шаговой доступности 2 - 3 видов общественного транспорта (при этом доступность остановочных пунктов пассажирского транспорта общего пользования каждого вида, принятая по существующим общедоступным пешеходным связям, не должна превышать 500 м);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0,8 - 25% от общего расчетного количества парковочных мест постоянного хранения размещается в подземных стоянках и (или) многоэтажных надземных паркингах, и обеспечено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сположение в шаговой доступности 2 - 3 видов общественного транспорта (при этом доступность остановочных пунктов пассажирского транспорта общего пользования каждого вида, принятая по существующим общедоступным пешеходным связям, не должна превышать 500 м);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коэффициент 0,9 - обеспечено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сположение в шаговой доступности 2 - 3 видов общественного транспорта (при этом доступность остановочных пунктов пассажирского транспорта общего пользования каждого вида, принятая по существующим общедоступным пешеходным связям, не должна превышать 500 м).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Пешеходная доступность определяется как расстояние кратчайшего пешеходного пути от границ зем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ельных участков многоквартирных жилых домов до остановочных пунктов. Возможность применения одного из указанных понижающих коэффициентов должна быть обоснована мастер-планом. Пешеходную доступность до станций метрополитена допускается увеличивать до 800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Подготовленный мастер-план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ассматривается на Архитектурном совете при министерстве градостроительной деятельности и развития агломераций Нижегородской области и согласовывается протокольным решением регионального штаба по градостроительному развитию территории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случае    осуществления    строительства   объектов   капитального строительства  в  границах земельного участка, находящегося в собственности Нижегородской    области,    либо    земельного   участка,  государственная собственность  на  который  не  разгр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аничена, предоставленного юридическому лицу  в аренду без проведения торгов в соответствии с пунктами 4, 4 , 5 или 10  части  4  статьи  8  Закона Нижегородской области от 13 декабря 2005 г. №  192-З «О регулировании земельных отношений в Нижегородской обл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асти», при отсутствии  возможности обеспечения парковочными местами в полном объеме, с учетом  сложившейся  застройки  и  существующего  землепользования,  расчет количества  парковочных  мест  осуществляется  с  применением особенностей, предусмотренных  </w:t>
      </w:r>
      <w:hyperlink w:tooltip="2.11.5. Особенности расчета парковочных мест в случае реализации мероприятий по комплексному развитию территории в границах городского округа город Нижний Новгород, городского округа город Дзержинск, Богородского муниципального округа, Кстовского муниципальног" w:anchor="P245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абзацами  первым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-  </w:t>
      </w:r>
      <w:hyperlink w:tooltip="- коэффициент 0,9 - обеспечено расположение в шаговой доступности 2 - 3 видов общественного транспорта (при этом доступность остановочных пунктов пассажирского транспорта общего пользования каждого вида, принятая по существующим общедоступным пешеходным связям" w:anchor="P246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девятым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настоящего  пункта. При этом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количество  парковочных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мест должно быть согласовано протокольным решением регионального  штаба  по  вопросам реализации градостроительной политики на территории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реализации мероприятий по комплексному развитию территории необходимо соблюдение требований по размещению парковочных мест, указанных в </w:t>
      </w:r>
      <w:hyperlink w:tooltip="2.11.1. При строительстве и реконструкции объектов капитального строительства предусматриваются парковочные места, которые определяются расчетом в соответствии с настоящими Нормативами." w:anchor="P21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пунктах 2.11.1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</w:t>
      </w:r>
      <w:hyperlink w:tooltip="2.11.4. Особенности расчета и размещения парковочных мест при строительстве и реконструкции нежилой застройки." w:anchor="P216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2.11.4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настоящих Нормативов, за исключением требований по расчетному показателю обеспеченности парковочными местами постоянного хранения и условий применени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понижающего коэффициента. Размещение парковочных мест осуществляется в границах территории комплексного развития и в границах территории инвестиционного развития при условии наличия границ такой территории в мастер-плане территории комплексного развития.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2.11.6. Особенности расчета и размещения парковочных мест для легковых автомобилей, управляемых инвалидами.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Места для хранения (парковки) легковых автомобилей, управляемых инвалидами,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транспортных средств, перевозящих таких инвалидов и (и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ли) детей-инвалидов,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г. № 181-ФЗ «О социальной защите инвалидов в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СП 59.13330.2020 «Свод правил. Доступность зданий и сооружений для маломобильных групп населения. СНиП 35-01-2001», утвержденного приказом Министерства строительства и жилищно-коммунального хозяйства Российской Федерации от 30 декабря 2020 г. № 904/пр.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Места для стоянки автомобилей, управляемых инвалидами или перевозящих инвалидов, размещаются вблизи входа в предприятие,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анизацию или учреждение, доступного для инвалидов, но не далее 50 м, от входа в жилое здание - не далее 100 м; при реконструкции, сложной конфигурации земельного участка допускается увеличивать расстояние от зданий до стоянок (парковок), но не более 150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всех парковках общего пользования, в том числе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нвалидов III группы данная норма распространяется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числе 10% мест автотранспортных средств инвалидов, расположенных на автостоянке около или в объеме жилых, общественных (в том числе объектов физкультурно-спортивного назначения, культуры и др.) и производственных зданий, здани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инженерной и транспортной инфраструктуры, а также у зон рекреации, выделяются специализированные расширенные парковочные места для транспортных средств инвалидов, передвигающихся на кресле-коляске, количество которых определяется расчетом при числе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до 100 включительно - 5%, но не менее одного места;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от 101 до 200 - 5 мест и дополнительно 3% от количества мест свыше 100;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от 201 до 500 - 8 мест и дополнительно 2% от количества мест свыше 200;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- 501 и более - 14 мест и дополнительно 1% от количества мест свыше 500.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Расчет мест для постоянного хранения транспортных средств, управляемых инвалидами или перевозящих инвалидов и (или) детей-инвалидов, проживающих в многоквартирных домах, выполняется в соответствии с заданием на проектирование.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Двойное использование мест хранения и парковки легкового транспорта инвалидов недопустимо.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2.11.7. Нормы расчета парковочных мест, установленные в </w:t>
      </w:r>
      <w:hyperlink w:tooltip="2.11.3. Особенности расчета и размещения парковочных мест при строительстве и реконструкции жилой застройки." w:anchor="P214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пункте 2.11.3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hyperlink w:tooltip="Таблица 2.11.4" w:anchor="P217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таблице 2.11.4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настоящих Нормативов, применяются на всей территории муниципального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городской округ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2.12. Минимально допустимое количество парковочных 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парковки легковых автомобилей на стоянках автомобилей,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размещаемых у границ лесопарков, зон отдыха и курортных 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Требуемое количество парковочных мест для парковки легковых автомобилей посетителей рекреационных территорий, объектов отдыха и работающих на их объектах определяется в соответствии с </w:t>
      </w:r>
      <w:hyperlink w:tooltip="Требуемое количество парковочных мест" w:anchor="P251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таблицей 2.12.1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Размещать стоянки следует за пределами рекреационных территорий, на расстоянии не более 400 м от входа.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Разрешается размещение парковочных мест в подземных гаражно-стояночных объектах, устраиваемых под хозяйственной зоной, с организацией въездов с прилегающей уличной сети.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наличии на рекреационных территориях объектов, функциональное назначение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противоречит функции рекреационной территории (базы отдыха, туристские и рыболовные базы и пр.), автостоянки устраиваются за пределами рекреационной территории. Подвоз отдыхающих (при необходимости) осуществляется специальным малогабаритным транспортом.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2.12.1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Требуемое количество парковочных мест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рекреационных территорий и объектов отдыха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110"/>
        <w:gridCol w:w="2551"/>
        <w:gridCol w:w="3260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Рекреационные территории и объекты отдыха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Расчетная единица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расчетных единиц, для которых предусматривается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Пляжи и парки в зонах отдыха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Единовременных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Лесопарки и заповедники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Единовременных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Базы кратковременного отдыха (спортивные, лыжные, рыболовные, охотничьи и др.)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Единовременных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Береговые базы маломерного флота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Единовременных посетителей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Дома отдыха, санатории, санатории-профилактории, базы отдыха предприятий и туристические базы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Отдыхающих и обслуживающего персонала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Предприятия общественного питания, торговли и коммунально-бытового обслуживания в зонах отдыха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 в залах или единовременных посетителей и персонала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vMerge w:val="restart"/>
            <w:textDirection w:val="lrTb"/>
            <w:noWrap w:val="false"/>
          </w:tcPr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Примечание.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ind w:firstLine="54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Нормативные показатели включают требуемое количество парковочных мест для работающих и посетителей.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 Расчетные показатели минимально допустимой площади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озелененных территорий общего пользования и расчетные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показатели максимально допустимого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территориальной доступности таких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2.13.1. Площадь озелененных территорий общего пользования для муниципального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городской округ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должна составлять (норматив на одного жителя):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для города Нижний Новгород - 16 кв. метров;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для города Кстово - 13 кв. метров;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для иных населенных пунктов - 12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городе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Нижний Новгород и городе Кстово,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предприятиями, требующими устройства санитарно-защитных зон шириной более 1 км, уровень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озелененности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территории застройки следует увеличивать не менее чем на 15%.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2.13.2. Минимальная площадь фактически озелененной территории (озелененная территория общего пользования, непосредственно занятая зелеными насаждениями) должна составлять не менее 70% от общей площади озелененной территории общего пользования.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2.13.3. Площадь под зданиями и иными сооружениями, расположенными на озелененной территории общего пользования, включая проезды, дорожки и площади с твердым покрытием, не может превышать 30 процентов этой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городе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Нижний Новгород и городе Кстово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существующие массивы городских лесов рекомендуется преобразовывать в городские лесопарки.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2.13.5. При размещении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городской округ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парков и садов следует максимально сохранять участки с существующими насаждениями и водоемами.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Площадь территории парков, садов и скверов следует принимать не менее: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городских парков - 15 га;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парков планировочных районов - 10 га;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садов жилых районов - 3 га;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скверов - 0,5 га (для условий реконструкции - не менее 0,1 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городе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Нижний Новгород и городе Кстово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наряду с парками городского и районного значе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необходимо предусматривать специализированные - детские, спортивные, выставочные, зоологические и другие парки, ботанические сады. Размеры детских парков следует принимать из расчета 0,5 кв. м на одного жителя, включая площадки и спортивные сооружения.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2.13.7. Время доступности городских и районных парков на общественном транспорте (без учета времени ожидания транспорта) должно быть не более 30 мин. - для городских и 20 мин. - для районных парков.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2.14. Расчетные показатели минимально допустимого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уровня обеспеченности объектами обеспечения пожарной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безопасности и расчетные показатели максимально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допустимого уровня территориальной доступности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таких объектов для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2.14.1. Размещение подразделений пожарной охраны на территориях городских и сельских населенных пунктов определяется с учетом требований статьи 76 Федерального закона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 июля 2008 г. № 123-ФЗ «Технический регламент о требованиях пожарной безопасности» и «СП 11.13130.2009. Свод правил. Места дислокации подразделений пожарной охраны. Порядок и методика определения», утвержденного приказом МЧС РФ от 25 марта 2009 г. № 181.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2.14.2. Минимальное количество специальных пожарных автомобилей (в том числе в кварталах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среднеэтажной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многоэтажной застройки), необходимое для укомплектования подразделений пожарной охраны, создаваемых для тушения пожаров и проведения аварийно-спасательных работ в населенных пунктах, определяе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тся согласно Методике расчета численности и технической оснащенности подразделений пожарной охраны, создаваемых для тушения пожаров и проведения аварийно-спасательных работ в населенных пунктах, утвержденной приказом МЧС России от 15 октября 2021 г. № 700.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подготовке документов 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рриториального планирования и документации по планировке территории учитываются состояние и перспективы размещения объектов защиты, развитие границ территориальных зон, установленных правилами землепользования и застройки муниципального образования, за пре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делами расчетного срока, включая принципиальные решения по территориальному развитию, функциональному зонированию, планировочной структуре, инженерной и транспортной инфраструктурам, рациональному использованию природных ресурсов и охране окружающей среды.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Обеспеченность территори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пожарными депо осуществляется с учетом существующей и перспективной застройки и подтверждается согласованием с исполнительным органом Нижегородской области, осуществляющим мероприятия в области гражданской обороны, защиты населения и территорий от чрезвы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чайных ситуаций, предупреждения и ликвидации чрезвычайных ситуаций, пожарной безопасности и безопасности граждан на водных объектах на территории Нижегородской области, в рамках определенных законодательством полномочий Правительства Нижегородской области.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Материалы по обоснованию расчетных показателей,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основной части нормативов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градостроительного проектирования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Перечень нормативных правовых актов и иных документов, использованных при подготовке Нормативов.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Федеральные законы: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Водный кодекс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Градостроительный кодекс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Земельный кодекс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Лесной кодекс Российской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закона от 21.12.2021 № 414-ФЗ. «Об общих принципах организации публичной власти в субъектах Российской Федерации».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6 октября 2003 года № 131-ФЗ «Об общих принципах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местного самоуправления в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 Российской Федерации от 21 февраля 1992 года № 2395-1 «О недрах»;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24 июня 1998 года № 89-ФЗ «Об отходах производства и потребления»;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30 марта 1999 года № 52-ФЗ «О санитарно-эпидемиологическом благополучии населения»;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31 марта 1999 года № 69-ФЗ «О газоснабжении в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4 мая 1999 года № 96-ФЗ «Об охране атмосферного воздуха»;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26 марта 2003 года № 35-ФЗ «Об электроэнергетике»;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7 июля 2003 года № 126-ФЗ «О связи»;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22 июля 2008 года № 123-ФЗ «Технический регламент о требованиях пожарной безопасности»;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190-ФЗ «О теплоснабжении»;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7 декабря 2011 года № 416-ФЗ «О водоснабжении и водоотведении»;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29 декабря 2012 года № 273-ФЗ «Об образовании в Российской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Федеральный закон от 28 декабря 2013 года № 442-ФЗ «Об основах социального обслуживания граждан в Российской Федерации».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Иные нормативные акты Российской Федерации: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 сентября 2009 года № 717 «О нормах отвода земель для размещения автомобильных дорог и (или) объектов дорожного сервиса»;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29 октября 2009 года № 860 «О требованиях к обеспеченности автомобильных дорог общего пользования объектами дорожного сервиса, размещаемыми в границах полос отвода»;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Социальные нормативы и нормы, одобренные распоряжением Правительства Российской Федерации от 3 июля 1996 года № 1063-р;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Перечень субъектов Российской Федерации и отдельных районов субъектов Российской Федерации (в существующих границах), относящихся к территориям с низкой плотностью населения, и перечень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убъектов Российской Федерации и отдельных районов субъектов Российской Федерации (в существующих границах), относящихся к территориям с высокой плотностью населения, утвержденные распоряжением Правительства Российской Федерации от 25 мая 2004 года № 707-р;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Ветеринарно-санитарные правила сбора, утилизации и уничтожения биологических отходов, утвержденные Министерством сельского хозяйства и продовольствия Российской Федерации от 4 декабря 1995 года № 13-7-2/469;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 Министерства транспорта Российской Федерации от 6 августа 2008 года № 126 «Об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 Министерства здравоохранения и социального развития Российской Федерации от 15 мая 2012 года № 543н «Об утверждении Положения об организации оказания первичной медико-санитарной помощи взрослому населению»;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 Министе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Нормативные правовые акты Нижегородской области: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 Нижегородской области от 8 апреля 2008 года № 37-З «Об основах регулирования градостроительной деятельности на территории Нижегородской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 Нижегородской области от 23 декабря 2014 года № 197-З «О перераспределении отдельных полномочий между органами местного самоуправления муниципальных образований и органами государственной власти Нижегородской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Правительства Нижегородской области от 30 апреля 2014 года № 303 «Об утверждении государственной программы «Развитие транспортной системы Нижегородской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Правительства Нижегородской области от 23 октября 2015 года № 683 «Об утверждении адресной инвестиционной программы Нижегородской области на 2016 - 2018 годы»;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Правительства Нижегородской области от 30 апреля 2014 года № 306 «Об утверждении государственной программы «Охрана окружающей среды Нижегородской области»»;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Распоряжение Правительства Нижегородской области от 11 июля 2013 года № 1417-р «Об утверждении перечня государственных программ Нижегородской области».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Своды правил по проектированию и строительству (СП):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42.13330.2011. Свод правил. Градостроительство. Планировка и застройка городских и сельских поселений. Актуализированная редакция СНиП 2.07.01-89*,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28 декабря 2010 года № 820;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145.13330.2012. Свод правил. Дома-интернаты. Правила проектирования, утвержденный приказом Федерального агентства по строительству и жилищно-коммунальному хозяйству от 27 декабря 2012 года № 132/ГС;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35-106-2003. Расчет и размещение учреждений социального обслуживания пожилых людей, одобренный и рекомендованный к применению постановлением Госстроя России от 22 сентября 2003 года № 166;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31.13330.2012. Свод правил. Водоснабжение. Наружные сети и сооружения. Актуализированная редакция СНиП 2.04.02-84*,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29 декабря 2011 года № 635/14;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32.13330.2012. Свод правил. Канализация. Наружные сети и сооружения. Актуализированная редакция СНиП 2.04.03-85, утвержденный и введенный в действие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29 декабря 2011 года № 635/11;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62.13330.2011. Свод правил. Газораспределительные системы. Актуализированная редакция СНиП 42-01-2002,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27 декабря 2010 года № 780;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50.13330.2012. Свод правил. Тепловая защита зданий. Актуализированная редакция СНиП 23-02-2003,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30 июня 2012 года № 265;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113.13330.2012. Свод правил. Стоянки автомобилей. Актуализированная редакция СНиП 21-02-99*,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29 декабря 2011 года № 635/9;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34.13330.2012. Свод правил. Автомобильные дороги. Актуализированная редакция СНиП 2.05.02-85*,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30 июня 2012 года № 266;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39.13330.2012. Свод правил. Плотины из грунтовых материалов. Актуализированная редакция СНиП 2.06.05-84*,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29 декабря 2011 года № 635/18;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131.13330.2012. Свод правил. Строительная климатология. Актуализированная редакция СНиП 23-01-99*,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30 июня 2012 года № 275;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31-115-2006. Открытые плоскостные физкультурно-спортивные сооружения, одобренный и рекомендованный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3 июля 2006 года № 407;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31-113-2004. Бассейны для плавания, одобренный и рекомендованный письмом Госстроя России от 30 апреля 2004 года № ЛБ-322/9 и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26 февраля 2005 года № 24;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31-112-2004. Физкультурно-спортивные залы. Части 1 и 2, одобренный и рекомендованный к применению письмом Госстроя России от 30 апреля 2004 года № ЛБ-322/9 и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26 февраля 2005 года № 24;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59.13330.2012. Свод правил. Доступность зданий и сооружений для маломобильных групп населения. Актуализированная редакция СНиП 35-01-2001,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27 декабря 2011 года № 605;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35-101-2001. Проектирование зданий и сооружений с учетом доступности для маломобильных групп населения. Общие положения, одобренный и рекомендованный к применению постановлением Госстроя России от 16 июля 2001 года № 70;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35-102-2001. Жилая среда с планировочными элементами, доступными инвалидам, утвержденный приказом директора Института общественных зданий от 20 июня 2001 года № 5б, одобренный и рекомендованный постановлением Госстроя России от 16 июля 2001 года № 71;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31-102-99. Требования доступности общественных зданий и сооружений для инвалидов и других маломобильных посетителей, утвержденный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риказом директора ГУП «Научно-проектный институт учебно-воспитательных, торгово-бытовых и досуговых зданий» (Институт общественных зданий) от 22 сентября 1999 года № 10, принятый и рекомендованный постановлением Госстроя России от 29 ноября 1999 года № 73;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35-103-2001. Общественные здания и сооружения, доступные маломобильным посетителям, одобренный и рекомендованный к применению постановлением Госстроя России от 16 июля 2001 года № 72;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 54.13330.2011. Свод правил. Здания жилые многоквартирные. Актуализированная редакция СНиП 31-01-2003, утвержденный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Минрегиона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России от 24 декабря 2010 года № 778.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Строительные нормы и правила (СНиП):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СНиП 2.01.51-90. Инженерно-технические мероприятия гражданской обороны, утвержденные и введенные в действие приказом Министерства строительства и жилищно-коммунального хозяйства Российской Федерации от 12 ноября 2014 года № 705/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СНиП 2.06.15-85. Инженерная защита территории от затопления и подтопления, утвержденные постановлением Госстроя СССР от 19 сентября 1985 года № 154;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СНиП 2.01.28-85. Полигоны по обезвреживанию и захоронению токсичных промышленных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отходов. Основные положения по проектированию, утвержденные постановлением Госстроя СССР от 26 июня 1985 года № 98.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Санитарно-эпидемиологические правила и нормативы (СанПиН):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 государственного санитарного врача Российской Федерации от 15 мая 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18 мая 2010 года № 58 «Об утверждении СанПиН 2.1.3.2630-10 «Санитарно-эпидемиологические требования к организациям, осуществляющим медицинскую деятельность»;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ссийской Федерации от 25 сентября 2007 года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17 мая 2001 года № 14 «О введении в действие санитарных прав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ил» (вместе с «СанПиН 2.1.6.1032-01. 2.1.6. Атмосферный воздух и воздух закрытых помещений, санитарная охрана воздуха. Гигиенические требования к обеспечению качества атмосферного воздуха населенных мест. Санитарно-эпидемиологические правила и нормативы»);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9 июня 2003 года № 135 «О введении в действие Санитарных правил и нормативов - СанПиН 2.1.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2.2.4.1383-03» (вместе с «СанПиН 2.1.8/2.2.4.1383-03. 2.1.8. Физические факторы окружающей природной среды. 2.2.4. Физические факт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оры производственной среды. Гигиенические требования к размещению и эксплуатации передающих радиотехнических объектов. Санитарно-эпидемиологические правила и нормативы», утв. Главным государственным санитарным врачом Российской Федерации 9 июня 2003 года);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13 марта 2003 года № 18 «О введении в действие Санитарных правил и нормативов СанПиН 2.1.8/2.2.4.1190-03» (вместе с «СанПиН 2.1.8/2.2.4.11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90-03. 2.1.8. Физические факторы окружающей природной среды. 2.2.4. Физические факторы производственной среды. Гигиенические требования к размещению и эксплуатации средств сухопутной подвижной радиосвязи. Санитарно-эпидемиологические правила и нормативы»);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30.05.2001 № 16 «О введении в действие 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нитарных правил» (вместе с «СП 2.1.7.1038-01. 2.1.7. Почва, очистка населенных мест, отходы производства и потребления, санитарная охрана почвы. Гигиенические требования к устройству и содержанию полигонов для твердых бытовых отходов. Санитарные правила»).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Государственные стандарты (ГОСТ):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ГОСТ Р 52498-2005 Национальный 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дарт Российской Федерации Социальное обслуживание населения. Классификация учреждений социального обслуживания, утвержденный и введенный в действие приказом Федерального агентства по техническому регулированию и метрологии от 30 декабря 2005 года № 535-ст;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ГОСТ 30772-2001. Межгосударственный стандарт. Ресурсосбережение. Обращение с отходами. Термины и определения, введенный в действие постановлением Госстандарта России от 28 декабря 2001 года № 607-ст;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ГОСТ Р 55528-2013 Национальный стандарт Российской Федерации. Состав и содержание научно-проектной документации по сохранению объектов культурного наследия. Памятники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истории и культуры. Общие требования, утвержденный и введенный в действие приказом Федерального агентства по техническому регулированию и метрологии от 28 августа 2013 года № 593-ст;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ГОСТ Р 52766-2007. Дороги автомобильные общего пользования. Элементы обустройства. Общие требования, утвержденный и введенный в действие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Ростехрегулирования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23 октября 2007 г. № 270-ст;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ГОСТ 33150-2014. Межгосудар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ственный стандарт. Дороги автомобильные общего пользования. Проектирование пешеходных и велосипедных дорожек. Общие требования, введенный в действие приказом Федерального агентства по техническому регулированию и метрологии от 31 августа 2015 г. № 1206-ст.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Санитарные нормы (СН):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 2.2.4/2.1.8.562-96 «Шум на рабочих местах, в помещениях жилых, общественных зданий и на территории жилой застройки. Санитарные нормы», утвержденный постановлением Госкомсанэпиднадзора России от 31 октября 1996 года № 36.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Руководящие документы системы нормативных документов в строительстве (РДС):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РДС 35-201-99. Порядок реализации требований доступности для инвалидов к объектам социальной инфраструктуры, утвержденный постановлением Госстроя России и Минтруда России от 22 декабря 1999 года № 74/51.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Методические рекомендации: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Методические рекомендации по разработке и реали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зации мероприятий по организации дорожного движения. Требования к планированию развития инфраструктуры велосипедного транспорта поселений, городских округов в Российской Федерации, согласованные Министерством транспорта Российской Федерации 24 июля 2018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Правила и область применения расчетных показателей,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основной части региональных нормативов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градостроительного проектирования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Настоящие Нормативы устанавливают совокупность расчетных показателей минимально допустимого уровня обеспеченности объектами регионального значения населения Нижегородской области и расчетных показателей максимально допустимого уровня территориальной доступ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ности таких объектов для населения Нижегородской области, а также предельные значения расчетных показателей минимально допустимого уровня обеспеченности объектами местного значения, предусмотренными частями 3 и 4 статьи 29.2 Градостроительного кодекса Росс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ийской Федерации, населения муниципальных образований Нижегородской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Настоящие нормативы подлежат применению: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при подготовке документации по планировке территории;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при осуществлении исполнительными органами Нижегородской области контроля за соблюдением органами местного самоуправления законодательства о градостроительной деятельности;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разработчиками градостроительной документации, заказчиками градостроительной документации и иными заинтересованными лицами при оценке качества градостроительной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Расчетные показатели минимал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ьно допустимого уровня обеспеченности объектами местного значения населения муниципального образования, установленные местными нормативами градостроительного проектирования муниципального образования Нижегородской области, не могут быть ниже предельных 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чений расчетных показателей минимально допустимого уровня обеспеченности объектами местного значения населения муниципальных образований Нижегородской области, установленных региональными нормативами градостроительного проектирования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внесения изменений в региональные нормативы градостроительного проектирования Нижегородской области, в результате которых предельные значения расчетных показателей миним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ально допустимого уровня обеспеченности объектами местного значения населения муниципальных образований Нижегородской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образования, установленных местными нормативами градостроительного проектирования,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образования, установленные местными нормативами градостроительного прое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ктирования,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значения, установленных региональными нормативами градостроительного проектирования Нижегородской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внесения изменений в региональные нормативы градостроительного проектирования Нижегородской области, в результате которых предельные значения расчетных показателей максимально допустимого уровня территор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иальной доступности объектов местного значения для населения муниципальных образований Нижегородской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образования, установленных местными нормативами градостроительного проектирования,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8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местным нормативам градостроительного проектирования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КЛАССИФИКАЦИЯ УЛИЦ И ДОРОГ.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ОСНОВНОЕ НАЗНАЧЕНИЕ УЛИЦ И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1. Классификация улиц и дорог городов.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Основное назначение улиц и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1304"/>
        <w:gridCol w:w="2438"/>
        <w:gridCol w:w="6179"/>
      </w:tblGrid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дорог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улиц городов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Основное назначение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 и дорог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дороги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скоростного движения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(ДСД)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Скоростная транспортная связь между удаленными промышле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нными и планировочными районами в крупнейших и крупных городах; выходы на внешние автомобильные дороги, к аэропортам, крупным зонам массового отдыха и населенным пунктам в системе расселения. Пересечения с магистральными улицами и дорогами в разных уровнях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дороги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регулируемого движения (ДРД)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связь между районами на отдельных направлениях и участках преимущественно грузового движения, осуществляемого вне жилой застройки, выходы на внешние автомобильные дороги, пересечения с улицами и дорогами, как правило, в одном уровне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общегородского значения непрерывного движения (УНД)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спортная связь между жилыми, промышленными районами и общественными центрами в крупных и больших городах, а также с другими магистральными улицами и внешними автомобильными дорогами. Обеспечение движения транспорта по основным направлениям в разных уровнях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общегородского 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регулируемого движения (УРД)</w:t>
            </w:r>
            <w:r/>
            <w:r/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связь между жилыми, промышленными районами и центром города, центрами планировочных районов, выходы на 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районного 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транспортно-пешеходные (УТП)</w:t>
            </w:r>
            <w:r/>
            <w:r/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Магистральные улицы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районного значения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-транспортные (УПТ)</w:t>
            </w:r>
            <w:r/>
            <w:r/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и транспортная связи (преимущественно общественный пассажирский транспорт) в пределах планировочного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дороги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жилой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(УЖ)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улицы и дороги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регулируемого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0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Улицы и дороги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научно-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производственных, промышленных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 коммунально-складских зонах (районах)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связь преимущественно легкового и грузового транспорта в пределах зон (районов), выходы на магистральные городские дороги. Пересечения с улицами и дорогами устраиваются в одном уровне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04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Парковые дороги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ДПар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Транспортная связь в пределах территории парков и лесопарков преимущественно для движения легковых автомобилей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Проезды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Подъезд транспортных средств к жилым и общественным зданиям, учреждениям, предприятиям и другим объектам городской застройки внутри районов, микрорайонов, кварталов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улицы и дороги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742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Велосипедные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дорожки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(ДВ)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179" w:type="dxa"/>
            <w:textDirection w:val="lrTb"/>
            <w:noWrap w:val="false"/>
          </w:tcPr>
          <w:p>
            <w:pPr>
              <w:pStyle w:val="988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Проезд на велосипедах по свободным от других видов транспортного движения трассам к местам отдыха, общественным центрам. Связь в пределах планировочных районов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Классификация сельских улиц и дорог сельских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населенных пунктов. Основное назначение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32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1361"/>
        <w:gridCol w:w="2098"/>
        <w:gridCol w:w="6462"/>
      </w:tblGrid>
      <w:tr>
        <w:tblPrEx/>
        <w:trPr/>
        <w:tc>
          <w:tcPr>
            <w:gridSpan w:val="2"/>
            <w:tcW w:w="3459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Категория сельских улиц и дорог сельских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Основное назначение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459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Поселковая дорога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ДПос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Связь сельского населенного пункта с внешними дорогами общей сети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459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Главная улица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УГл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Связь жилых территорий с общественным центром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жилой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застройке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Основная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Связь внутри жилых территорий и с главной улицей по направлениям с интенсивным движением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Второстепенная (переулок)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УЖв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Связь между основными жилыми улицами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Проезд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Связь жилых домов, расположенных в глубине квартала, с улицей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3459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Хозяйственный проезд, скотопрогон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2" w:type="dxa"/>
            <w:textDirection w:val="lrTb"/>
            <w:noWrap w:val="false"/>
          </w:tcPr>
          <w:p>
            <w:pPr>
              <w:pStyle w:val="98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Прогон личного скота и проезд грузового транспорта к приусадебным участкам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8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Arial Black">
    <w:panose1 w:val="020B0A04020102020204"/>
  </w:font>
  <w:font w:name="Sylfaen">
    <w:panose1 w:val="02040502050405020303"/>
  </w:font>
  <w:font w:name="Corbel">
    <w:panose1 w:val="020B0503020203020204"/>
  </w:font>
  <w:font w:name="Book Antiqua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766635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6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">
    <w:multiLevelType w:val="hybridMultilevel"/>
    <w:lvl w:ilvl="0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6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6"/>
      <w:numFmt w:val="decimal"/>
      <w:isLgl w:val="false"/>
      <w:suff w:val="tab"/>
      <w:lvlText w:val="%1.%2"/>
      <w:lvlJc w:val="left"/>
      <w:pPr>
        <w:ind w:left="8015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464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60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892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8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6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7120" w:hanging="1440"/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5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2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9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7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34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41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8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55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2339" w:hanging="15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70" w:hanging="15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1" w:hanging="156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52" w:hanging="156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623" w:hanging="156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94" w:hanging="156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65" w:hanging="15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20" w:hanging="420"/>
        <w:tabs>
          <w:tab w:val="num" w:pos="420" w:leader="none"/>
        </w:tabs>
      </w:pPr>
      <w:rPr>
        <w:rFonts w:hint="default" w:cs="Times New Roman"/>
      </w:rPr>
    </w:lvl>
    <w:lvl w:ilvl="1">
      <w:start w:val="26"/>
      <w:numFmt w:val="decimal"/>
      <w:isLgl w:val="false"/>
      <w:suff w:val="tab"/>
      <w:lvlText w:val="%1.%2"/>
      <w:lvlJc w:val="left"/>
      <w:pPr>
        <w:ind w:left="480" w:hanging="420"/>
        <w:tabs>
          <w:tab w:val="num" w:pos="48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840" w:hanging="720"/>
        <w:tabs>
          <w:tab w:val="num" w:pos="84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00" w:hanging="720"/>
        <w:tabs>
          <w:tab w:val="num" w:pos="9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20" w:hanging="1080"/>
        <w:tabs>
          <w:tab w:val="num" w:pos="13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380" w:hanging="1080"/>
        <w:tabs>
          <w:tab w:val="num" w:pos="13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60" w:hanging="1440"/>
        <w:tabs>
          <w:tab w:val="num" w:pos="186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280" w:hanging="1800"/>
        <w:tabs>
          <w:tab w:val="num" w:pos="2280" w:leader="none"/>
        </w:tabs>
      </w:pPr>
      <w:rPr>
        <w:rFonts w:hint="default" w:cs="Times New Roman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845" w:hanging="420"/>
      </w:pPr>
      <w:rPr>
        <w:rFonts w:hint="default" w:cs="Times New Roman"/>
      </w:rPr>
    </w:lvl>
    <w:lvl w:ilvl="2">
      <w:start w:val="3"/>
      <w:numFmt w:val="decimal"/>
      <w:isLgl w:val="false"/>
      <w:suff w:val="tab"/>
      <w:lvlText w:val="%1.%2.%3"/>
      <w:lvlJc w:val="left"/>
      <w:pPr>
        <w:ind w:left="157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95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7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0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3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415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40" w:hanging="1440"/>
      </w:pPr>
      <w:rPr>
        <w:rFonts w:hint="default" w:cs="Times New Roman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1211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73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3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186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397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48" w:hanging="1440"/>
      </w:pPr>
      <w:rPr>
        <w:rFonts w:hint="default"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1.%1."/>
      <w:lvlJc w:val="left"/>
      <w:pPr/>
      <w:rPr>
        <w:rFonts w:ascii="Times New Roman" w:hAnsi="Times New Roman" w:eastAsia="Times New Roman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rFonts w:hint="default" w:cs="Times New Roman"/>
      </w:rPr>
    </w:lvl>
    <w:lvl w:ilvl="1">
      <w:start w:val="48"/>
      <w:numFmt w:val="decimal"/>
      <w:isLgl w:val="false"/>
      <w:suff w:val="tab"/>
      <w:lvlText w:val="%1.%2."/>
      <w:lvlJc w:val="left"/>
      <w:pPr>
        <w:ind w:left="980" w:hanging="480"/>
        <w:tabs>
          <w:tab w:val="num" w:pos="98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20" w:hanging="720"/>
        <w:tabs>
          <w:tab w:val="num" w:pos="1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20" w:hanging="720"/>
        <w:tabs>
          <w:tab w:val="num" w:pos="22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80" w:hanging="1080"/>
        <w:tabs>
          <w:tab w:val="num" w:pos="3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80" w:hanging="1080"/>
        <w:tabs>
          <w:tab w:val="num" w:pos="35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440"/>
        <w:tabs>
          <w:tab w:val="num" w:pos="4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40" w:hanging="1440"/>
        <w:tabs>
          <w:tab w:val="num" w:pos="49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800" w:hanging="1800"/>
        <w:tabs>
          <w:tab w:val="num" w:pos="5800" w:leader="none"/>
        </w:tabs>
      </w:pPr>
      <w:rPr>
        <w:rFonts w:hint="default"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71" w:hanging="804"/>
        <w:tabs>
          <w:tab w:val="num" w:pos="1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6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2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5600" w:hanging="180"/>
      </w:pPr>
      <w:rPr>
        <w:rFonts w:cs="Times New Roman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rFonts w:hint="default" w:cs="Times New Roman"/>
      </w:rPr>
    </w:lvl>
    <w:lvl w:ilvl="1">
      <w:start w:val="25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5"/>
      <w:numFmt w:val="decimal"/>
      <w:isLgl/>
      <w:suff w:val="tab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3.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4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3.2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31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4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19"/>
  </w:num>
  <w:num w:numId="5">
    <w:abstractNumId w:val="22"/>
  </w:num>
  <w:num w:numId="6">
    <w:abstractNumId w:val="17"/>
  </w:num>
  <w:num w:numId="7">
    <w:abstractNumId w:val="15"/>
  </w:num>
  <w:num w:numId="8">
    <w:abstractNumId w:val="24"/>
  </w:num>
  <w:num w:numId="9">
    <w:abstractNumId w:val="25"/>
  </w:num>
  <w:num w:numId="10">
    <w:abstractNumId w:val="27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16"/>
  </w:num>
  <w:num w:numId="20">
    <w:abstractNumId w:val="10"/>
  </w:num>
  <w:num w:numId="21">
    <w:abstractNumId w:val="3"/>
  </w:num>
  <w:num w:numId="22">
    <w:abstractNumId w:val="18"/>
  </w:num>
  <w:num w:numId="23">
    <w:abstractNumId w:val="30"/>
  </w:num>
  <w:num w:numId="24">
    <w:abstractNumId w:val="12"/>
  </w:num>
  <w:num w:numId="25">
    <w:abstractNumId w:val="21"/>
  </w:num>
  <w:num w:numId="26">
    <w:abstractNumId w:val="32"/>
  </w:num>
  <w:num w:numId="27">
    <w:abstractNumId w:val="20"/>
  </w:num>
  <w:num w:numId="28">
    <w:abstractNumId w:val="5"/>
  </w:num>
  <w:num w:numId="29">
    <w:abstractNumId w:val="6"/>
  </w:num>
  <w:num w:numId="30">
    <w:abstractNumId w:val="35"/>
  </w:num>
  <w:num w:numId="31">
    <w:abstractNumId w:val="31"/>
  </w:num>
  <w:num w:numId="32">
    <w:abstractNumId w:val="34"/>
  </w:num>
  <w:num w:numId="33">
    <w:abstractNumId w:val="4"/>
  </w:num>
  <w:num w:numId="34">
    <w:abstractNumId w:val="33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20"/>
    <w:link w:val="916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20"/>
    <w:link w:val="917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20"/>
    <w:link w:val="918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920"/>
    <w:link w:val="919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5"/>
    <w:next w:val="915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20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5"/>
    <w:next w:val="91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20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0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5"/>
    <w:next w:val="91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0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5"/>
    <w:next w:val="915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0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5"/>
    <w:next w:val="915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basedOn w:val="920"/>
    <w:link w:val="761"/>
    <w:uiPriority w:val="10"/>
    <w:rPr>
      <w:sz w:val="48"/>
      <w:szCs w:val="48"/>
    </w:rPr>
  </w:style>
  <w:style w:type="paragraph" w:styleId="763">
    <w:name w:val="Subtitle"/>
    <w:basedOn w:val="915"/>
    <w:next w:val="915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20"/>
    <w:link w:val="763"/>
    <w:uiPriority w:val="11"/>
    <w:rPr>
      <w:sz w:val="24"/>
      <w:szCs w:val="24"/>
    </w:rPr>
  </w:style>
  <w:style w:type="paragraph" w:styleId="765">
    <w:name w:val="Quote"/>
    <w:basedOn w:val="915"/>
    <w:next w:val="915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5"/>
    <w:next w:val="915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20"/>
    <w:link w:val="984"/>
    <w:uiPriority w:val="99"/>
  </w:style>
  <w:style w:type="character" w:styleId="770">
    <w:name w:val="Footer Char"/>
    <w:basedOn w:val="920"/>
    <w:link w:val="985"/>
    <w:uiPriority w:val="99"/>
  </w:style>
  <w:style w:type="paragraph" w:styleId="771">
    <w:name w:val="Caption"/>
    <w:basedOn w:val="915"/>
    <w:next w:val="915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985"/>
    <w:uiPriority w:val="99"/>
  </w:style>
  <w:style w:type="table" w:styleId="773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basedOn w:val="920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0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pPr>
      <w:ind w:left="0" w:right="0" w:firstLine="709"/>
      <w:jc w:val="left"/>
      <w:spacing w:before="0" w:beforeAutospacing="0" w:after="0" w:afterAutospacing="0" w:line="240" w:lineRule="auto"/>
      <w:shd w:val="nil"/>
      <w:widowControl/>
      <w:suppressLineNumbers w:val="0"/>
    </w:pPr>
    <w:rPr>
      <w:rFonts w:ascii="Times New Roman" w:hAnsi="Times New Roman" w:cs="Times New Roman" w:eastAsiaTheme="minorEastAsia"/>
      <w:b w:val="0"/>
      <w:bCs w:val="0"/>
      <w:sz w:val="28"/>
      <w:szCs w:val="28"/>
      <w:lang w:eastAsia="ru-RU"/>
    </w:rPr>
  </w:style>
  <w:style w:type="paragraph" w:styleId="916">
    <w:name w:val="Heading 1"/>
    <w:basedOn w:val="915"/>
    <w:next w:val="915"/>
    <w:link w:val="102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17">
    <w:name w:val="Heading 2"/>
    <w:basedOn w:val="915"/>
    <w:next w:val="915"/>
    <w:link w:val="1028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18">
    <w:name w:val="Heading 3"/>
    <w:basedOn w:val="915"/>
    <w:link w:val="923"/>
    <w:uiPriority w:val="9"/>
    <w:qFormat/>
    <w:pPr>
      <w:spacing w:before="100" w:beforeAutospacing="1" w:after="100" w:afterAutospacing="1"/>
      <w:widowControl/>
      <w:outlineLvl w:val="2"/>
    </w:pPr>
    <w:rPr>
      <w:rFonts w:eastAsia="Times New Roman"/>
      <w:b/>
      <w:bCs/>
      <w:sz w:val="27"/>
      <w:szCs w:val="27"/>
    </w:rPr>
  </w:style>
  <w:style w:type="paragraph" w:styleId="919">
    <w:name w:val="Heading 4"/>
    <w:basedOn w:val="915"/>
    <w:next w:val="915"/>
    <w:link w:val="924"/>
    <w:uiPriority w:val="9"/>
    <w:semiHidden/>
    <w:unhideWhenUsed/>
    <w:qFormat/>
    <w:pPr>
      <w:keepLines/>
      <w:keepNext/>
      <w:spacing w:before="200" w:line="276" w:lineRule="auto"/>
      <w:widowControl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character" w:styleId="923" w:customStyle="1">
    <w:name w:val="Заголовок 3 Знак"/>
    <w:basedOn w:val="920"/>
    <w:link w:val="9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24" w:customStyle="1">
    <w:name w:val="Заголовок 4 Знак"/>
    <w:basedOn w:val="920"/>
    <w:link w:val="91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25" w:customStyle="1">
    <w:name w:val="Font Style28"/>
    <w:basedOn w:val="920"/>
    <w:uiPriority w:val="99"/>
    <w:rPr>
      <w:rFonts w:ascii="Times New Roman" w:hAnsi="Times New Roman" w:cs="Times New Roman"/>
      <w:sz w:val="22"/>
      <w:szCs w:val="22"/>
    </w:rPr>
  </w:style>
  <w:style w:type="paragraph" w:styleId="926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27">
    <w:name w:val="Body Text"/>
    <w:basedOn w:val="915"/>
    <w:link w:val="928"/>
    <w:unhideWhenUsed/>
    <w:pPr>
      <w:spacing w:after="120"/>
    </w:pPr>
    <w:rPr>
      <w:rFonts w:eastAsia="Times New Roman"/>
      <w:sz w:val="20"/>
      <w:szCs w:val="20"/>
    </w:rPr>
  </w:style>
  <w:style w:type="character" w:styleId="928" w:customStyle="1">
    <w:name w:val="Основной текст Знак"/>
    <w:basedOn w:val="920"/>
    <w:link w:val="92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9" w:customStyle="1">
    <w:name w:val="Основной текст (2)_"/>
    <w:basedOn w:val="920"/>
    <w:link w:val="930"/>
    <w:rPr>
      <w:rFonts w:ascii="Arial" w:hAnsi="Arial"/>
      <w:b/>
      <w:bCs/>
      <w:spacing w:val="1"/>
      <w:sz w:val="17"/>
      <w:szCs w:val="17"/>
      <w:shd w:val="clear" w:color="auto" w:fill="ffffff"/>
    </w:rPr>
  </w:style>
  <w:style w:type="paragraph" w:styleId="930" w:customStyle="1">
    <w:name w:val="Основной текст (2)1"/>
    <w:basedOn w:val="915"/>
    <w:link w:val="929"/>
    <w:pPr>
      <w:ind w:hanging="1340"/>
      <w:jc w:val="both"/>
      <w:spacing w:before="120" w:line="248" w:lineRule="exact"/>
      <w:shd w:val="clear" w:color="auto" w:fill="ffffff"/>
      <w:widowControl/>
    </w:pPr>
    <w:rPr>
      <w:rFonts w:ascii="Arial" w:hAnsi="Arial" w:eastAsiaTheme="minorHAnsi" w:cstheme="minorBidi"/>
      <w:b/>
      <w:bCs/>
      <w:spacing w:val="1"/>
      <w:sz w:val="17"/>
      <w:szCs w:val="17"/>
      <w:lang w:eastAsia="en-US"/>
    </w:rPr>
  </w:style>
  <w:style w:type="character" w:styleId="931" w:customStyle="1">
    <w:name w:val="Основной текст (3)_"/>
    <w:basedOn w:val="920"/>
    <w:link w:val="932"/>
    <w:uiPriority w:val="99"/>
    <w:rPr>
      <w:rFonts w:hAnsi="Times New Roman" w:cs="Times New Roman"/>
      <w:sz w:val="21"/>
      <w:szCs w:val="21"/>
      <w:shd w:val="clear" w:color="auto" w:fill="ffffff"/>
    </w:rPr>
  </w:style>
  <w:style w:type="paragraph" w:styleId="932" w:customStyle="1">
    <w:name w:val="Основной текст (3)1"/>
    <w:basedOn w:val="915"/>
    <w:link w:val="931"/>
    <w:uiPriority w:val="99"/>
    <w:pPr>
      <w:ind w:hanging="1240"/>
      <w:spacing w:line="240" w:lineRule="atLeast"/>
      <w:shd w:val="clear" w:color="auto" w:fill="ffffff"/>
    </w:pPr>
    <w:rPr>
      <w:rFonts w:asciiTheme="minorHAnsi" w:eastAsiaTheme="minorHAnsi"/>
      <w:sz w:val="21"/>
      <w:szCs w:val="21"/>
      <w:lang w:eastAsia="en-US"/>
    </w:rPr>
  </w:style>
  <w:style w:type="paragraph" w:styleId="933" w:customStyle="1">
    <w:name w:val="Char Знак"/>
    <w:basedOn w:val="915"/>
    <w:pPr>
      <w:spacing w:before="100" w:beforeAutospacing="1" w:after="100" w:afterAutospacing="1"/>
      <w:widowControl/>
    </w:pPr>
    <w:rPr>
      <w:rFonts w:ascii="Tahoma" w:hAnsi="Tahoma" w:eastAsia="Times New Roman"/>
      <w:sz w:val="20"/>
      <w:szCs w:val="20"/>
      <w:lang w:val="en-US" w:eastAsia="en-US"/>
    </w:rPr>
  </w:style>
  <w:style w:type="paragraph" w:styleId="934">
    <w:name w:val="Balloon Text"/>
    <w:basedOn w:val="915"/>
    <w:link w:val="935"/>
    <w:uiPriority w:val="99"/>
    <w:semiHidden/>
    <w:unhideWhenUsed/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20"/>
    <w:link w:val="934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936" w:customStyle="1">
    <w:name w:val="Style1"/>
    <w:basedOn w:val="915"/>
    <w:uiPriority w:val="99"/>
  </w:style>
  <w:style w:type="paragraph" w:styleId="937" w:customStyle="1">
    <w:name w:val="Style2"/>
    <w:basedOn w:val="915"/>
    <w:uiPriority w:val="99"/>
    <w:pPr>
      <w:jc w:val="center"/>
      <w:spacing w:line="185" w:lineRule="exact"/>
    </w:pPr>
  </w:style>
  <w:style w:type="paragraph" w:styleId="938" w:customStyle="1">
    <w:name w:val="Style3"/>
    <w:basedOn w:val="915"/>
    <w:uiPriority w:val="99"/>
  </w:style>
  <w:style w:type="paragraph" w:styleId="939" w:customStyle="1">
    <w:name w:val="Style4"/>
    <w:basedOn w:val="915"/>
    <w:uiPriority w:val="99"/>
  </w:style>
  <w:style w:type="paragraph" w:styleId="940" w:customStyle="1">
    <w:name w:val="Style5"/>
    <w:basedOn w:val="915"/>
    <w:uiPriority w:val="99"/>
  </w:style>
  <w:style w:type="paragraph" w:styleId="941" w:customStyle="1">
    <w:name w:val="Style6"/>
    <w:basedOn w:val="915"/>
    <w:uiPriority w:val="99"/>
    <w:pPr>
      <w:jc w:val="both"/>
      <w:spacing w:line="341" w:lineRule="exact"/>
    </w:pPr>
  </w:style>
  <w:style w:type="paragraph" w:styleId="942" w:customStyle="1">
    <w:name w:val="Style7"/>
    <w:basedOn w:val="915"/>
    <w:uiPriority w:val="99"/>
    <w:pPr>
      <w:ind w:hanging="682"/>
      <w:spacing w:line="274" w:lineRule="exact"/>
    </w:pPr>
  </w:style>
  <w:style w:type="paragraph" w:styleId="943" w:customStyle="1">
    <w:name w:val="Style8"/>
    <w:basedOn w:val="915"/>
    <w:uiPriority w:val="99"/>
    <w:pPr>
      <w:ind w:firstLine="845"/>
      <w:jc w:val="both"/>
      <w:spacing w:line="413" w:lineRule="exact"/>
    </w:pPr>
  </w:style>
  <w:style w:type="paragraph" w:styleId="944" w:customStyle="1">
    <w:name w:val="Style9"/>
    <w:basedOn w:val="915"/>
    <w:uiPriority w:val="99"/>
    <w:pPr>
      <w:ind w:firstLine="869"/>
      <w:jc w:val="both"/>
      <w:spacing w:line="414" w:lineRule="exact"/>
    </w:pPr>
  </w:style>
  <w:style w:type="paragraph" w:styleId="945" w:customStyle="1">
    <w:name w:val="Style10"/>
    <w:basedOn w:val="915"/>
    <w:uiPriority w:val="99"/>
    <w:pPr>
      <w:ind w:hanging="370"/>
      <w:spacing w:line="413" w:lineRule="exact"/>
    </w:pPr>
  </w:style>
  <w:style w:type="paragraph" w:styleId="946" w:customStyle="1">
    <w:name w:val="Style11"/>
    <w:basedOn w:val="915"/>
    <w:uiPriority w:val="99"/>
    <w:pPr>
      <w:ind w:firstLine="307"/>
      <w:jc w:val="both"/>
      <w:spacing w:line="413" w:lineRule="exact"/>
    </w:pPr>
  </w:style>
  <w:style w:type="paragraph" w:styleId="947" w:customStyle="1">
    <w:name w:val="Style12"/>
    <w:basedOn w:val="915"/>
    <w:uiPriority w:val="99"/>
  </w:style>
  <w:style w:type="paragraph" w:styleId="948" w:customStyle="1">
    <w:name w:val="Style13"/>
    <w:basedOn w:val="915"/>
    <w:uiPriority w:val="99"/>
    <w:pPr>
      <w:jc w:val="both"/>
    </w:pPr>
  </w:style>
  <w:style w:type="paragraph" w:styleId="949" w:customStyle="1">
    <w:name w:val="Style14"/>
    <w:basedOn w:val="915"/>
    <w:uiPriority w:val="99"/>
    <w:pPr>
      <w:ind w:firstLine="422"/>
      <w:jc w:val="both"/>
      <w:spacing w:line="413" w:lineRule="exact"/>
    </w:pPr>
  </w:style>
  <w:style w:type="paragraph" w:styleId="950" w:customStyle="1">
    <w:name w:val="Style15"/>
    <w:basedOn w:val="915"/>
    <w:uiPriority w:val="99"/>
    <w:pPr>
      <w:jc w:val="both"/>
      <w:spacing w:line="413" w:lineRule="exact"/>
    </w:pPr>
  </w:style>
  <w:style w:type="paragraph" w:styleId="951" w:customStyle="1">
    <w:name w:val="Style16"/>
    <w:basedOn w:val="915"/>
    <w:uiPriority w:val="99"/>
    <w:pPr>
      <w:ind w:firstLine="590"/>
      <w:spacing w:line="413" w:lineRule="exact"/>
    </w:pPr>
  </w:style>
  <w:style w:type="paragraph" w:styleId="952" w:customStyle="1">
    <w:name w:val="Style17"/>
    <w:basedOn w:val="915"/>
    <w:uiPriority w:val="99"/>
    <w:pPr>
      <w:ind w:firstLine="859"/>
      <w:spacing w:line="413" w:lineRule="exact"/>
    </w:pPr>
  </w:style>
  <w:style w:type="paragraph" w:styleId="953" w:customStyle="1">
    <w:name w:val="Style18"/>
    <w:basedOn w:val="915"/>
    <w:uiPriority w:val="99"/>
  </w:style>
  <w:style w:type="paragraph" w:styleId="954" w:customStyle="1">
    <w:name w:val="Style19"/>
    <w:basedOn w:val="915"/>
    <w:uiPriority w:val="99"/>
    <w:pPr>
      <w:ind w:firstLine="806"/>
      <w:spacing w:line="264" w:lineRule="exact"/>
    </w:pPr>
  </w:style>
  <w:style w:type="paragraph" w:styleId="955" w:customStyle="1">
    <w:name w:val="Style20"/>
    <w:basedOn w:val="915"/>
    <w:uiPriority w:val="99"/>
    <w:pPr>
      <w:jc w:val="center"/>
    </w:pPr>
  </w:style>
  <w:style w:type="paragraph" w:styleId="956" w:customStyle="1">
    <w:name w:val="Style21"/>
    <w:basedOn w:val="915"/>
    <w:uiPriority w:val="99"/>
  </w:style>
  <w:style w:type="paragraph" w:styleId="957" w:customStyle="1">
    <w:name w:val="Style22"/>
    <w:basedOn w:val="915"/>
    <w:uiPriority w:val="99"/>
  </w:style>
  <w:style w:type="character" w:styleId="958" w:customStyle="1">
    <w:name w:val="Font Style24"/>
    <w:basedOn w:val="920"/>
    <w:uiPriority w:val="99"/>
    <w:rPr>
      <w:rFonts w:ascii="Arial" w:hAnsi="Arial" w:cs="Arial"/>
      <w:b/>
      <w:bCs/>
      <w:sz w:val="22"/>
      <w:szCs w:val="22"/>
    </w:rPr>
  </w:style>
  <w:style w:type="character" w:styleId="959" w:customStyle="1">
    <w:name w:val="Font Style25"/>
    <w:basedOn w:val="920"/>
    <w:uiPriority w:val="99"/>
    <w:rPr>
      <w:rFonts w:ascii="Times New Roman" w:hAnsi="Times New Roman" w:cs="Times New Roman"/>
      <w:sz w:val="14"/>
      <w:szCs w:val="14"/>
    </w:rPr>
  </w:style>
  <w:style w:type="character" w:styleId="960" w:customStyle="1">
    <w:name w:val="Font Style26"/>
    <w:basedOn w:val="92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61" w:customStyle="1">
    <w:name w:val="Font Style27"/>
    <w:basedOn w:val="92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962" w:customStyle="1">
    <w:name w:val="Font Style29"/>
    <w:basedOn w:val="920"/>
    <w:uiPriority w:val="99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styleId="963" w:customStyle="1">
    <w:name w:val="Font Style30"/>
    <w:basedOn w:val="920"/>
    <w:uiPriority w:val="99"/>
    <w:rPr>
      <w:rFonts w:ascii="Times New Roman" w:hAnsi="Times New Roman" w:cs="Times New Roman"/>
      <w:i/>
      <w:iCs/>
      <w:sz w:val="34"/>
      <w:szCs w:val="34"/>
    </w:rPr>
  </w:style>
  <w:style w:type="character" w:styleId="964" w:customStyle="1">
    <w:name w:val="Font Style31"/>
    <w:basedOn w:val="920"/>
    <w:uiPriority w:val="99"/>
    <w:rPr>
      <w:rFonts w:ascii="Times New Roman" w:hAnsi="Times New Roman" w:cs="Times New Roman"/>
      <w:i/>
      <w:iCs/>
      <w:sz w:val="50"/>
      <w:szCs w:val="50"/>
    </w:rPr>
  </w:style>
  <w:style w:type="character" w:styleId="965" w:customStyle="1">
    <w:name w:val="Font Style32"/>
    <w:basedOn w:val="92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966" w:customStyle="1">
    <w:name w:val="Font Style33"/>
    <w:basedOn w:val="92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styleId="967" w:customStyle="1">
    <w:name w:val="Font Style34"/>
    <w:basedOn w:val="920"/>
    <w:uiPriority w:val="99"/>
    <w:rPr>
      <w:rFonts w:ascii="Times New Roman" w:hAnsi="Times New Roman" w:cs="Times New Roman"/>
      <w:sz w:val="24"/>
      <w:szCs w:val="24"/>
    </w:rPr>
  </w:style>
  <w:style w:type="character" w:styleId="968" w:customStyle="1">
    <w:name w:val="Font Style35"/>
    <w:basedOn w:val="920"/>
    <w:uiPriority w:val="99"/>
    <w:rPr>
      <w:rFonts w:ascii="Sylfaen" w:hAnsi="Sylfaen" w:cs="Sylfaen"/>
      <w:i/>
      <w:iCs/>
      <w:sz w:val="22"/>
      <w:szCs w:val="22"/>
    </w:rPr>
  </w:style>
  <w:style w:type="character" w:styleId="969" w:customStyle="1">
    <w:name w:val="Font Style36"/>
    <w:basedOn w:val="920"/>
    <w:uiPriority w:val="99"/>
    <w:rPr>
      <w:rFonts w:ascii="Times New Roman" w:hAnsi="Times New Roman" w:cs="Times New Roman"/>
      <w:sz w:val="16"/>
      <w:szCs w:val="16"/>
    </w:rPr>
  </w:style>
  <w:style w:type="character" w:styleId="970" w:customStyle="1">
    <w:name w:val="Font Style37"/>
    <w:basedOn w:val="920"/>
    <w:uiPriority w:val="99"/>
    <w:rPr>
      <w:rFonts w:ascii="Arial" w:hAnsi="Arial" w:cs="Arial"/>
      <w:b/>
      <w:bCs/>
      <w:spacing w:val="10"/>
      <w:sz w:val="14"/>
      <w:szCs w:val="14"/>
    </w:rPr>
  </w:style>
  <w:style w:type="character" w:styleId="971" w:customStyle="1">
    <w:name w:val="Font Style38"/>
    <w:basedOn w:val="920"/>
    <w:uiPriority w:val="99"/>
    <w:rPr>
      <w:rFonts w:ascii="Arial Black" w:hAnsi="Arial Black" w:cs="Arial Black"/>
      <w:i/>
      <w:iCs/>
      <w:sz w:val="12"/>
      <w:szCs w:val="12"/>
    </w:rPr>
  </w:style>
  <w:style w:type="character" w:styleId="972" w:customStyle="1">
    <w:name w:val="Font Style39"/>
    <w:basedOn w:val="920"/>
    <w:uiPriority w:val="99"/>
    <w:rPr>
      <w:rFonts w:ascii="Times New Roman" w:hAnsi="Times New Roman" w:cs="Times New Roman"/>
      <w:i/>
      <w:iCs/>
      <w:sz w:val="8"/>
      <w:szCs w:val="8"/>
    </w:rPr>
  </w:style>
  <w:style w:type="character" w:styleId="973" w:customStyle="1">
    <w:name w:val="Font Style40"/>
    <w:basedOn w:val="92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974" w:customStyle="1">
    <w:name w:val="Font Style41"/>
    <w:basedOn w:val="920"/>
    <w:uiPriority w:val="99"/>
    <w:rPr>
      <w:rFonts w:ascii="Times New Roman" w:hAnsi="Times New Roman" w:cs="Times New Roman"/>
      <w:i/>
      <w:iCs/>
      <w:spacing w:val="-10"/>
      <w:sz w:val="22"/>
      <w:szCs w:val="22"/>
    </w:rPr>
  </w:style>
  <w:style w:type="character" w:styleId="975" w:customStyle="1">
    <w:name w:val="Font Style42"/>
    <w:basedOn w:val="920"/>
    <w:uiPriority w:val="99"/>
    <w:rPr>
      <w:rFonts w:ascii="Times New Roman" w:hAnsi="Times New Roman" w:cs="Times New Roman"/>
      <w:spacing w:val="10"/>
      <w:sz w:val="14"/>
      <w:szCs w:val="14"/>
    </w:rPr>
  </w:style>
  <w:style w:type="character" w:styleId="976" w:customStyle="1">
    <w:name w:val="Font Style12"/>
    <w:basedOn w:val="920"/>
    <w:uiPriority w:val="99"/>
    <w:rPr>
      <w:rFonts w:ascii="Arial" w:hAnsi="Arial" w:cs="Arial"/>
      <w:b/>
      <w:bCs/>
      <w:sz w:val="22"/>
      <w:szCs w:val="22"/>
    </w:rPr>
  </w:style>
  <w:style w:type="character" w:styleId="977" w:customStyle="1">
    <w:name w:val="Font Style13"/>
    <w:basedOn w:val="920"/>
    <w:uiPriority w:val="99"/>
    <w:rPr>
      <w:rFonts w:ascii="Times New Roman" w:hAnsi="Times New Roman" w:cs="Times New Roman"/>
      <w:sz w:val="14"/>
      <w:szCs w:val="14"/>
    </w:rPr>
  </w:style>
  <w:style w:type="character" w:styleId="978" w:customStyle="1">
    <w:name w:val="Font Style14"/>
    <w:basedOn w:val="920"/>
    <w:uiPriority w:val="99"/>
    <w:rPr>
      <w:rFonts w:ascii="Book Antiqua" w:hAnsi="Book Antiqua" w:cs="Book Antiqua"/>
      <w:b/>
      <w:bCs/>
      <w:sz w:val="10"/>
      <w:szCs w:val="10"/>
    </w:rPr>
  </w:style>
  <w:style w:type="character" w:styleId="979" w:customStyle="1">
    <w:name w:val="Font Style15"/>
    <w:basedOn w:val="92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80" w:customStyle="1">
    <w:name w:val="Font Style16"/>
    <w:basedOn w:val="92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981" w:customStyle="1">
    <w:name w:val="Font Style17"/>
    <w:basedOn w:val="92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982" w:customStyle="1">
    <w:name w:val="Font Style18"/>
    <w:basedOn w:val="920"/>
    <w:uiPriority w:val="99"/>
    <w:rPr>
      <w:rFonts w:ascii="Times New Roman" w:hAnsi="Times New Roman" w:cs="Times New Roman"/>
      <w:sz w:val="22"/>
      <w:szCs w:val="22"/>
    </w:rPr>
  </w:style>
  <w:style w:type="character" w:styleId="983" w:customStyle="1">
    <w:name w:val="Верхний колонтитул Знак"/>
    <w:basedOn w:val="920"/>
    <w:link w:val="984"/>
    <w:uiPriority w:val="99"/>
    <w:semiHidden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84">
    <w:name w:val="Header"/>
    <w:basedOn w:val="915"/>
    <w:link w:val="98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paragraph" w:styleId="985">
    <w:name w:val="Footer"/>
    <w:basedOn w:val="915"/>
    <w:link w:val="9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6" w:customStyle="1">
    <w:name w:val="Нижний колонтитул Знак"/>
    <w:basedOn w:val="920"/>
    <w:link w:val="985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87">
    <w:name w:val="List Paragraph"/>
    <w:basedOn w:val="915"/>
    <w:uiPriority w:val="34"/>
    <w:qFormat/>
    <w:pPr>
      <w:contextualSpacing/>
      <w:ind w:left="720"/>
      <w:widowControl/>
    </w:pPr>
    <w:rPr>
      <w:rFonts w:eastAsia="Times New Roman"/>
      <w:sz w:val="20"/>
      <w:szCs w:val="20"/>
      <w:lang w:val="en-US"/>
    </w:rPr>
  </w:style>
  <w:style w:type="paragraph" w:styleId="988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9" w:customStyle="1">
    <w:name w:val="apple-converted-space"/>
    <w:basedOn w:val="920"/>
    <w:uiPriority w:val="99"/>
  </w:style>
  <w:style w:type="character" w:styleId="990" w:customStyle="1">
    <w:name w:val="Заголовок №7_"/>
    <w:basedOn w:val="920"/>
    <w:link w:val="991"/>
    <w:uiPriority w:val="99"/>
    <w:rPr>
      <w:rFonts w:ascii="Book Antiqua" w:hAnsi="Book Antiqua"/>
      <w:b/>
      <w:bCs/>
      <w:spacing w:val="-5"/>
      <w:sz w:val="23"/>
      <w:szCs w:val="23"/>
      <w:shd w:val="clear" w:color="auto" w:fill="ffffff"/>
    </w:rPr>
  </w:style>
  <w:style w:type="paragraph" w:styleId="991" w:customStyle="1">
    <w:name w:val="Заголовок №71"/>
    <w:basedOn w:val="915"/>
    <w:link w:val="990"/>
    <w:uiPriority w:val="99"/>
    <w:pPr>
      <w:jc w:val="both"/>
      <w:spacing w:after="300" w:line="240" w:lineRule="atLeast"/>
      <w:shd w:val="clear" w:color="auto" w:fill="ffffff"/>
      <w:widowControl/>
      <w:outlineLvl w:val="6"/>
    </w:pPr>
    <w:rPr>
      <w:rFonts w:ascii="Book Antiqua" w:hAnsi="Book Antiqua" w:eastAsiaTheme="minorHAnsi" w:cstheme="minorBidi"/>
      <w:b/>
      <w:bCs/>
      <w:spacing w:val="-5"/>
      <w:sz w:val="23"/>
      <w:szCs w:val="23"/>
      <w:lang w:eastAsia="en-US"/>
    </w:rPr>
  </w:style>
  <w:style w:type="character" w:styleId="992" w:customStyle="1">
    <w:name w:val="Основной текст (2)"/>
    <w:basedOn w:val="929"/>
    <w:rPr>
      <w:rFonts w:ascii="Arial" w:hAnsi="Arial"/>
      <w:b/>
      <w:bCs/>
      <w:spacing w:val="1"/>
      <w:sz w:val="17"/>
      <w:szCs w:val="17"/>
      <w:u w:val="single"/>
      <w:shd w:val="clear" w:color="auto" w:fill="ffffff"/>
    </w:rPr>
  </w:style>
  <w:style w:type="character" w:styleId="993" w:customStyle="1">
    <w:name w:val="Основной текст (4)_"/>
    <w:basedOn w:val="920"/>
    <w:link w:val="994"/>
    <w:uiPriority w:val="99"/>
    <w:rPr>
      <w:rFonts w:ascii="Book Antiqua" w:hAnsi="Book Antiqua"/>
      <w:b/>
      <w:bCs/>
      <w:spacing w:val="-5"/>
      <w:sz w:val="23"/>
      <w:szCs w:val="23"/>
      <w:shd w:val="clear" w:color="auto" w:fill="ffffff"/>
    </w:rPr>
  </w:style>
  <w:style w:type="paragraph" w:styleId="994" w:customStyle="1">
    <w:name w:val="Основной текст (4)1"/>
    <w:basedOn w:val="915"/>
    <w:link w:val="993"/>
    <w:uiPriority w:val="99"/>
    <w:pPr>
      <w:ind w:hanging="1260"/>
      <w:spacing w:before="120" w:line="240" w:lineRule="atLeast"/>
      <w:shd w:val="clear" w:color="auto" w:fill="ffffff"/>
      <w:widowControl/>
    </w:pPr>
    <w:rPr>
      <w:rFonts w:ascii="Book Antiqua" w:hAnsi="Book Antiqua" w:eastAsiaTheme="minorHAnsi" w:cstheme="minorBidi"/>
      <w:b/>
      <w:bCs/>
      <w:spacing w:val="-5"/>
      <w:sz w:val="23"/>
      <w:szCs w:val="23"/>
      <w:lang w:eastAsia="en-US"/>
    </w:rPr>
  </w:style>
  <w:style w:type="character" w:styleId="995" w:customStyle="1">
    <w:name w:val="Основной текст + Arial"/>
    <w:basedOn w:val="920"/>
    <w:uiPriority w:val="99"/>
    <w:rPr>
      <w:rFonts w:ascii="Arial" w:hAnsi="Arial" w:cs="Arial"/>
      <w:spacing w:val="1"/>
      <w:sz w:val="21"/>
      <w:szCs w:val="21"/>
      <w:shd w:val="clear" w:color="auto" w:fill="ffffff"/>
    </w:rPr>
  </w:style>
  <w:style w:type="character" w:styleId="996" w:customStyle="1">
    <w:name w:val="Основной текст (3)8"/>
    <w:basedOn w:val="931"/>
    <w:uiPriority w:val="99"/>
    <w:rPr>
      <w:rFonts w:ascii="Book Antiqua" w:hAnsi="Book Antiqua" w:cs="Book Antiqua"/>
      <w:sz w:val="17"/>
      <w:szCs w:val="17"/>
      <w:u w:val="single"/>
      <w:shd w:val="clear" w:color="auto" w:fill="ffffff"/>
      <w:lang w:bidi="ar-SA"/>
    </w:rPr>
  </w:style>
  <w:style w:type="character" w:styleId="997" w:customStyle="1">
    <w:name w:val="Основной текст (6)_"/>
    <w:basedOn w:val="920"/>
    <w:link w:val="998"/>
    <w:uiPriority w:val="99"/>
    <w:rPr>
      <w:rFonts w:ascii="Book Antiqua" w:hAnsi="Book Antiqua" w:cs="Times New Roman"/>
      <w:i/>
      <w:iCs/>
      <w:spacing w:val="-13"/>
      <w:shd w:val="clear" w:color="auto" w:fill="ffffff"/>
    </w:rPr>
  </w:style>
  <w:style w:type="paragraph" w:styleId="998" w:customStyle="1">
    <w:name w:val="Основной текст (6)"/>
    <w:basedOn w:val="915"/>
    <w:link w:val="997"/>
    <w:uiPriority w:val="99"/>
    <w:pPr>
      <w:jc w:val="right"/>
      <w:spacing w:after="120" w:line="227" w:lineRule="exact"/>
      <w:shd w:val="clear" w:color="auto" w:fill="ffffff"/>
      <w:widowControl/>
    </w:pPr>
    <w:rPr>
      <w:rFonts w:ascii="Book Antiqua" w:hAnsi="Book Antiqua" w:eastAsiaTheme="minorHAnsi"/>
      <w:i/>
      <w:iCs/>
      <w:spacing w:val="-13"/>
      <w:sz w:val="22"/>
      <w:szCs w:val="22"/>
      <w:lang w:eastAsia="en-US"/>
    </w:rPr>
  </w:style>
  <w:style w:type="character" w:styleId="999" w:customStyle="1">
    <w:name w:val="Основной текст (6) + 9 pt"/>
    <w:basedOn w:val="997"/>
    <w:uiPriority w:val="99"/>
    <w:rPr>
      <w:rFonts w:ascii="Book Antiqua" w:hAnsi="Book Antiqua" w:cs="Times New Roman"/>
      <w:i/>
      <w:iCs/>
      <w:spacing w:val="-13"/>
      <w:sz w:val="17"/>
      <w:szCs w:val="17"/>
      <w:shd w:val="clear" w:color="auto" w:fill="ffffff"/>
    </w:rPr>
  </w:style>
  <w:style w:type="character" w:styleId="1000" w:customStyle="1">
    <w:name w:val="Оглавление (3)_"/>
    <w:basedOn w:val="920"/>
    <w:link w:val="1001"/>
    <w:uiPriority w:val="99"/>
    <w:rPr>
      <w:rFonts w:ascii="Book Antiqua" w:hAnsi="Book Antiqua" w:cs="Times New Roman"/>
      <w:b/>
      <w:bCs/>
      <w:spacing w:val="-5"/>
      <w:sz w:val="23"/>
      <w:szCs w:val="23"/>
      <w:shd w:val="clear" w:color="auto" w:fill="ffffff"/>
    </w:rPr>
  </w:style>
  <w:style w:type="paragraph" w:styleId="1001" w:customStyle="1">
    <w:name w:val="Оглавление (3)1"/>
    <w:basedOn w:val="915"/>
    <w:link w:val="1000"/>
    <w:uiPriority w:val="99"/>
    <w:pPr>
      <w:spacing w:line="240" w:lineRule="atLeast"/>
      <w:shd w:val="clear" w:color="auto" w:fill="ffffff"/>
      <w:widowControl/>
    </w:pPr>
    <w:rPr>
      <w:rFonts w:ascii="Book Antiqua" w:hAnsi="Book Antiqua" w:eastAsiaTheme="minorHAnsi"/>
      <w:b/>
      <w:bCs/>
      <w:spacing w:val="-5"/>
      <w:sz w:val="23"/>
      <w:szCs w:val="23"/>
      <w:lang w:eastAsia="en-US"/>
    </w:rPr>
  </w:style>
  <w:style w:type="character" w:styleId="1002" w:customStyle="1">
    <w:name w:val="Оглавление (3) + 101"/>
    <w:basedOn w:val="1000"/>
    <w:uiPriority w:val="99"/>
    <w:rPr>
      <w:rFonts w:ascii="Book Antiqua" w:hAnsi="Book Antiqua" w:cs="Book Antiqua"/>
      <w:b/>
      <w:bCs/>
      <w:spacing w:val="-5"/>
      <w:sz w:val="20"/>
      <w:szCs w:val="20"/>
      <w:shd w:val="clear" w:color="auto" w:fill="ffffff"/>
    </w:rPr>
  </w:style>
  <w:style w:type="character" w:styleId="1003" w:customStyle="1">
    <w:name w:val="Заголовок №7 + 9 pt"/>
    <w:basedOn w:val="990"/>
    <w:uiPriority w:val="99"/>
    <w:rPr>
      <w:rFonts w:ascii="Book Antiqua" w:hAnsi="Book Antiqua" w:cs="Book Antiqua"/>
      <w:b/>
      <w:bCs/>
      <w:spacing w:val="21"/>
      <w:sz w:val="17"/>
      <w:szCs w:val="17"/>
      <w:shd w:val="clear" w:color="auto" w:fill="ffffff"/>
      <w:lang w:bidi="ar-SA"/>
    </w:rPr>
  </w:style>
  <w:style w:type="character" w:styleId="1004" w:customStyle="1">
    <w:name w:val="Заголовок №7"/>
    <w:basedOn w:val="990"/>
    <w:uiPriority w:val="99"/>
    <w:rPr>
      <w:rFonts w:ascii="Book Antiqua" w:hAnsi="Book Antiqua" w:cs="Book Antiqua"/>
      <w:b/>
      <w:bCs/>
      <w:spacing w:val="-5"/>
      <w:sz w:val="23"/>
      <w:szCs w:val="23"/>
      <w:u w:val="single"/>
      <w:shd w:val="clear" w:color="auto" w:fill="ffffff"/>
      <w:lang w:bidi="ar-SA"/>
    </w:rPr>
  </w:style>
  <w:style w:type="character" w:styleId="1005" w:customStyle="1">
    <w:name w:val="Основной текст_"/>
    <w:basedOn w:val="920"/>
    <w:link w:val="1006"/>
    <w:rPr>
      <w:rFonts w:ascii="Arial" w:hAnsi="Arial" w:cs="Arial"/>
      <w:sz w:val="19"/>
      <w:szCs w:val="19"/>
      <w:shd w:val="clear" w:color="auto" w:fill="ffffff"/>
    </w:rPr>
  </w:style>
  <w:style w:type="paragraph" w:styleId="1006" w:customStyle="1">
    <w:name w:val="Основной текст3"/>
    <w:basedOn w:val="915"/>
    <w:link w:val="1005"/>
    <w:pPr>
      <w:ind w:hanging="360"/>
      <w:spacing w:line="202" w:lineRule="exact"/>
      <w:shd w:val="clear" w:color="auto" w:fill="ffffff"/>
    </w:pPr>
    <w:rPr>
      <w:rFonts w:ascii="Arial" w:hAnsi="Arial" w:cs="Arial" w:eastAsiaTheme="minorHAnsi"/>
      <w:sz w:val="19"/>
      <w:szCs w:val="19"/>
      <w:lang w:eastAsia="en-US"/>
    </w:rPr>
  </w:style>
  <w:style w:type="character" w:styleId="1007" w:customStyle="1">
    <w:name w:val="Основной текст + Times New Roman"/>
    <w:basedOn w:val="1005"/>
    <w:uiPriority w:val="99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styleId="1008" w:customStyle="1">
    <w:name w:val="Основной текст (26)"/>
    <w:basedOn w:val="920"/>
    <w:uiPriority w:val="99"/>
    <w:rPr>
      <w:rFonts w:ascii="Arial" w:hAnsi="Arial" w:cs="Arial"/>
      <w:color w:val="000000"/>
      <w:spacing w:val="0"/>
      <w:position w:val="0"/>
      <w:sz w:val="20"/>
      <w:szCs w:val="20"/>
      <w:u w:val="single"/>
      <w:lang w:val="ru-RU"/>
    </w:rPr>
  </w:style>
  <w:style w:type="paragraph" w:styleId="1009" w:customStyle="1">
    <w:name w:val="Default"/>
    <w:pPr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ru-RU"/>
    </w:rPr>
  </w:style>
  <w:style w:type="paragraph" w:styleId="1010" w:customStyle="1">
    <w:name w:val="formattext"/>
    <w:basedOn w:val="915"/>
    <w:uiPriority w:val="99"/>
    <w:pPr>
      <w:spacing w:before="100" w:beforeAutospacing="1" w:after="100" w:afterAutospacing="1"/>
      <w:widowControl/>
    </w:pPr>
    <w:rPr>
      <w:rFonts w:eastAsia="Times New Roman"/>
    </w:rPr>
  </w:style>
  <w:style w:type="character" w:styleId="1011" w:customStyle="1">
    <w:name w:val="Основной текст + Courier New1"/>
    <w:basedOn w:val="1005"/>
    <w:uiPriority w:val="99"/>
    <w:rPr>
      <w:rFonts w:ascii="Courier New" w:hAnsi="Courier New" w:cs="Courier New"/>
      <w:color w:val="000000"/>
      <w:spacing w:val="0"/>
      <w:position w:val="0"/>
      <w:sz w:val="15"/>
      <w:szCs w:val="15"/>
      <w:u w:val="none"/>
      <w:shd w:val="clear" w:color="auto" w:fill="ffffff"/>
      <w:lang w:val="ru-RU"/>
    </w:rPr>
  </w:style>
  <w:style w:type="character" w:styleId="1012" w:customStyle="1">
    <w:name w:val="Основной текст + Курсив"/>
    <w:basedOn w:val="1005"/>
    <w:uiPriority w:val="99"/>
    <w:rPr>
      <w:rFonts w:ascii="Arial" w:hAnsi="Arial" w:cs="Arial"/>
      <w:i/>
      <w:iCs/>
      <w:color w:val="000000"/>
      <w:spacing w:val="-30"/>
      <w:position w:val="0"/>
      <w:sz w:val="19"/>
      <w:szCs w:val="19"/>
      <w:u w:val="none"/>
      <w:shd w:val="clear" w:color="auto" w:fill="ffffff"/>
      <w:lang w:val="ru-RU"/>
    </w:rPr>
  </w:style>
  <w:style w:type="character" w:styleId="1013" w:customStyle="1">
    <w:name w:val="Основной текст + Corbel"/>
    <w:basedOn w:val="1005"/>
    <w:uiPriority w:val="99"/>
    <w:rPr>
      <w:rFonts w:ascii="Corbel" w:hAnsi="Corbel" w:cs="Corbel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1014" w:customStyle="1">
    <w:name w:val="Основной текст + Малые прописные"/>
    <w:basedOn w:val="1005"/>
    <w:uiPriority w:val="99"/>
    <w:rPr>
      <w:rFonts w:ascii="Arial" w:hAnsi="Arial" w:cs="Arial"/>
      <w:smallCaps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character" w:styleId="1015" w:customStyle="1">
    <w:name w:val="Основной текст (3) + Малые прописные"/>
    <w:basedOn w:val="931"/>
    <w:uiPriority w:val="99"/>
    <w:rPr>
      <w:rFonts w:ascii="Times New Roman" w:hAnsi="Times New Roman" w:cs="Times New Roman"/>
      <w:smallCaps/>
      <w:color w:val="000000"/>
      <w:spacing w:val="0"/>
      <w:position w:val="0"/>
      <w:sz w:val="21"/>
      <w:szCs w:val="21"/>
      <w:u w:val="none"/>
      <w:shd w:val="clear" w:color="auto" w:fill="ffffff"/>
      <w:lang w:val="en-US"/>
    </w:rPr>
  </w:style>
  <w:style w:type="character" w:styleId="1016" w:customStyle="1">
    <w:name w:val="Основной текст + Courier New"/>
    <w:basedOn w:val="1005"/>
    <w:uiPriority w:val="99"/>
    <w:rPr>
      <w:rFonts w:ascii="Courier New" w:hAnsi="Courier New" w:cs="Courier New"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paragraph" w:styleId="1017" w:customStyle="1">
    <w:name w:val="formattext topleveltext"/>
    <w:basedOn w:val="915"/>
    <w:pPr>
      <w:spacing w:before="100" w:beforeAutospacing="1" w:after="100" w:afterAutospacing="1"/>
      <w:widowControl/>
    </w:pPr>
    <w:rPr>
      <w:rFonts w:eastAsia="Times New Roman"/>
    </w:rPr>
  </w:style>
  <w:style w:type="paragraph" w:styleId="1018" w:customStyle="1">
    <w:name w:val="Основной текст8"/>
    <w:basedOn w:val="915"/>
    <w:pPr>
      <w:ind w:hanging="1340"/>
      <w:jc w:val="both"/>
      <w:spacing w:before="120" w:line="250" w:lineRule="exact"/>
      <w:shd w:val="clear" w:color="auto" w:fill="ffffff"/>
    </w:pPr>
    <w:rPr>
      <w:rFonts w:eastAsia="Times New Roman"/>
      <w:sz w:val="21"/>
      <w:szCs w:val="21"/>
      <w:lang w:eastAsia="en-US"/>
    </w:rPr>
  </w:style>
  <w:style w:type="character" w:styleId="1019" w:customStyle="1">
    <w:name w:val="Основной текст Exact"/>
    <w:basedOn w:val="9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styleId="1020" w:customStyle="1">
    <w:name w:val="Основной текст7"/>
    <w:basedOn w:val="100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6"/>
      <w:position w:val="0"/>
      <w:sz w:val="20"/>
      <w:szCs w:val="20"/>
      <w:u w:val="none"/>
      <w:shd w:val="clear" w:color="auto" w:fill="ffffff"/>
      <w:lang w:val="ru-RU"/>
    </w:rPr>
  </w:style>
  <w:style w:type="character" w:styleId="1021" w:customStyle="1">
    <w:name w:val="Основной текст + 9;5 pt;Интервал 0 pt"/>
    <w:basedOn w:val="100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19"/>
      <w:szCs w:val="19"/>
      <w:u w:val="none"/>
      <w:shd w:val="clear" w:color="auto" w:fill="ffffff"/>
      <w:lang w:val="ru-RU"/>
    </w:rPr>
  </w:style>
  <w:style w:type="character" w:styleId="1022" w:customStyle="1">
    <w:name w:val="Основной текст + 9 pt;Курсив;Интервал -1 pt"/>
    <w:basedOn w:val="100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-26"/>
      <w:position w:val="0"/>
      <w:sz w:val="18"/>
      <w:szCs w:val="18"/>
      <w:u w:val="none"/>
      <w:shd w:val="clear" w:color="auto" w:fill="ffffff"/>
      <w:lang w:val="ru-RU"/>
    </w:rPr>
  </w:style>
  <w:style w:type="character" w:styleId="1023" w:customStyle="1">
    <w:name w:val="Основной текст + Полужирный"/>
    <w:basedOn w:val="1005"/>
    <w:rPr>
      <w:rFonts w:ascii="Times New Roman" w:hAnsi="Times New Roman" w:eastAsia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styleId="1024" w:customStyle="1">
    <w:name w:val="Основной текст + 10 pt"/>
    <w:basedOn w:val="100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25">
    <w:name w:val="Normal (Web)"/>
    <w:basedOn w:val="915"/>
    <w:uiPriority w:val="99"/>
    <w:semiHidden/>
    <w:pPr>
      <w:spacing w:before="100" w:beforeAutospacing="1" w:after="100" w:afterAutospacing="1"/>
      <w:widowControl/>
    </w:pPr>
    <w:rPr>
      <w:rFonts w:eastAsia="Times New Roman"/>
      <w:color w:val="000000"/>
    </w:rPr>
  </w:style>
  <w:style w:type="character" w:styleId="1026">
    <w:name w:val="Hyperlink"/>
    <w:uiPriority w:val="99"/>
    <w:semiHidden/>
    <w:unhideWhenUsed/>
    <w:rPr>
      <w:color w:val="0000ff"/>
      <w:u w:val="single"/>
    </w:rPr>
  </w:style>
  <w:style w:type="paragraph" w:styleId="1027" w:customStyle="1">
    <w:name w:val="Заголовок1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character" w:styleId="1028" w:customStyle="1">
    <w:name w:val="Заголовок 2 Знак"/>
    <w:basedOn w:val="920"/>
    <w:link w:val="91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1029" w:customStyle="1">
    <w:name w:val="Заголовок 1 Знак"/>
    <w:basedOn w:val="920"/>
    <w:link w:val="91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table" w:styleId="1030">
    <w:name w:val="Table Grid"/>
    <w:basedOn w:val="9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1" w:customStyle="1">
    <w:name w:val="fontstyle01"/>
    <w:basedOn w:val="920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paragraph" w:styleId="103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1033" w:customStyle="1">
    <w:name w:val="Содержимое таблицы"/>
    <w:basedOn w:val="77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4" w:customStyle="1">
    <w:name w:val="Название объекта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5" w:customStyle="1">
    <w:name w:val="Заголовок 6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4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36" w:customStyle="1">
    <w:name w:val="pt-a0-0000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3F2B2-F6EF-43DD-A5A9-9F93BB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a.mihajlov</dc:creator>
  <cp:lastModifiedBy>o.sunarchina</cp:lastModifiedBy>
  <cp:revision>37</cp:revision>
  <dcterms:created xsi:type="dcterms:W3CDTF">2023-06-23T13:11:00Z</dcterms:created>
  <dcterms:modified xsi:type="dcterms:W3CDTF">2025-11-17T07:49:00Z</dcterms:modified>
</cp:coreProperties>
</file>